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493D0A" w14:textId="77777777" w:rsidR="003C6F09" w:rsidRPr="00DC5D57" w:rsidRDefault="003C6F09" w:rsidP="003C6F09">
      <w:pPr>
        <w:pStyle w:val="BasicParagraph"/>
        <w:spacing w:line="240" w:lineRule="auto"/>
        <w:jc w:val="center"/>
        <w:rPr>
          <w:rFonts w:asciiTheme="minorHAnsi" w:hAnsiTheme="minorHAnsi" w:cs="Garamond-Bold"/>
          <w:b/>
          <w:bCs/>
          <w:sz w:val="56"/>
          <w:szCs w:val="56"/>
        </w:rPr>
      </w:pPr>
      <w:r w:rsidRPr="00DC5D57">
        <w:rPr>
          <w:rFonts w:asciiTheme="minorHAnsi" w:hAnsiTheme="minorHAnsi" w:cs="Garamond-Bold"/>
          <w:b/>
          <w:bCs/>
          <w:sz w:val="56"/>
          <w:szCs w:val="56"/>
        </w:rPr>
        <w:t>Will Daddario</w:t>
      </w:r>
    </w:p>
    <w:p w14:paraId="32B787DE" w14:textId="50B8163B" w:rsidR="003C6F09" w:rsidRDefault="00B4302D" w:rsidP="003C6F09">
      <w:pPr>
        <w:pStyle w:val="BasicParagraph"/>
        <w:spacing w:line="240" w:lineRule="auto"/>
        <w:jc w:val="center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MA, PhD, </w:t>
      </w:r>
      <w:r w:rsidR="003C6F09">
        <w:rPr>
          <w:rFonts w:asciiTheme="minorHAnsi" w:hAnsiTheme="minorHAnsi" w:cs="Garamond"/>
        </w:rPr>
        <w:t xml:space="preserve">MEd, LCMHCA, LCASA </w:t>
      </w:r>
    </w:p>
    <w:p w14:paraId="45E42451" w14:textId="32657ED0" w:rsidR="003C6F09" w:rsidRPr="00DC5D57" w:rsidRDefault="00B4302D" w:rsidP="003C6F09">
      <w:pPr>
        <w:pStyle w:val="BasicParagraph"/>
        <w:spacing w:line="240" w:lineRule="auto"/>
        <w:jc w:val="center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Charlotte</w:t>
      </w:r>
      <w:r w:rsidR="003C6F09">
        <w:rPr>
          <w:rFonts w:asciiTheme="minorHAnsi" w:hAnsiTheme="minorHAnsi" w:cs="Garamond"/>
        </w:rPr>
        <w:t>, NC</w:t>
      </w:r>
    </w:p>
    <w:p w14:paraId="5C521B01" w14:textId="77777777" w:rsidR="003C6F09" w:rsidRPr="009F4A64" w:rsidRDefault="003C6F09" w:rsidP="003C6F09">
      <w:pPr>
        <w:pStyle w:val="BasicParagraph"/>
        <w:spacing w:line="240" w:lineRule="auto"/>
        <w:jc w:val="center"/>
        <w:rPr>
          <w:rFonts w:asciiTheme="minorHAnsi" w:hAnsiTheme="minorHAnsi" w:cs="Garamond"/>
          <w:color w:val="000000" w:themeColor="text1"/>
        </w:rPr>
      </w:pPr>
      <w:proofErr w:type="gramStart"/>
      <w:r w:rsidRPr="009F4A64">
        <w:rPr>
          <w:rFonts w:asciiTheme="minorHAnsi" w:hAnsiTheme="minorHAnsi" w:cs="Garamond"/>
          <w:color w:val="000000" w:themeColor="text1"/>
        </w:rPr>
        <w:t>w.daddario@gmail.com :</w:t>
      </w:r>
      <w:proofErr w:type="gramEnd"/>
      <w:r w:rsidRPr="009F4A64">
        <w:rPr>
          <w:rFonts w:asciiTheme="minorHAnsi" w:hAnsiTheme="minorHAnsi" w:cs="Garamond"/>
          <w:color w:val="000000" w:themeColor="text1"/>
        </w:rPr>
        <w:t>: 646.662.2997</w:t>
      </w:r>
    </w:p>
    <w:p w14:paraId="54E2DE90" w14:textId="77777777" w:rsidR="003C6F09" w:rsidRPr="00DC5D57" w:rsidRDefault="003C6F09" w:rsidP="003C6F09">
      <w:pPr>
        <w:jc w:val="center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www.willdaddario.com</w:t>
      </w:r>
    </w:p>
    <w:p w14:paraId="1E81150E" w14:textId="77777777" w:rsidR="003C6F09" w:rsidRPr="00DC5D57" w:rsidRDefault="003C6F09" w:rsidP="003C6F09">
      <w:pPr>
        <w:rPr>
          <w:rFonts w:asciiTheme="minorHAnsi" w:hAnsiTheme="minorHAnsi" w:cs="Garamond"/>
        </w:rPr>
      </w:pPr>
    </w:p>
    <w:p w14:paraId="59116C49" w14:textId="77777777" w:rsidR="003C6F09" w:rsidRPr="00DC5D57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z w:val="26"/>
          <w:szCs w:val="28"/>
          <w:u w:val="single"/>
        </w:rPr>
      </w:pPr>
      <w:r w:rsidRPr="00DC5D57">
        <w:rPr>
          <w:rFonts w:asciiTheme="minorHAnsi" w:hAnsiTheme="minorHAnsi" w:cs="Garamond-Bold"/>
          <w:b/>
          <w:bCs/>
          <w:sz w:val="26"/>
          <w:szCs w:val="28"/>
          <w:u w:val="single"/>
        </w:rPr>
        <w:t>EDUCATION</w:t>
      </w:r>
    </w:p>
    <w:p w14:paraId="0C742130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pacing w:val="-10"/>
        </w:rPr>
      </w:pPr>
      <w:r>
        <w:rPr>
          <w:rFonts w:asciiTheme="minorHAnsi" w:hAnsiTheme="minorHAnsi" w:cs="Garamond-Bold"/>
          <w:b/>
          <w:bCs/>
          <w:spacing w:val="-10"/>
        </w:rPr>
        <w:t>The College of William and Mary</w:t>
      </w:r>
    </w:p>
    <w:p w14:paraId="5E29DACB" w14:textId="77777777" w:rsidR="003C6F09" w:rsidRPr="00800A40" w:rsidRDefault="003C6F09" w:rsidP="003C6F09">
      <w:pPr>
        <w:pStyle w:val="BasicParagraph"/>
        <w:numPr>
          <w:ilvl w:val="0"/>
          <w:numId w:val="2"/>
        </w:numPr>
        <w:spacing w:line="240" w:lineRule="auto"/>
        <w:rPr>
          <w:rFonts w:asciiTheme="minorHAnsi" w:hAnsiTheme="minorHAnsi" w:cs="Garamond-Bold"/>
          <w:spacing w:val="-10"/>
        </w:rPr>
      </w:pPr>
      <w:r>
        <w:rPr>
          <w:rFonts w:asciiTheme="minorHAnsi" w:hAnsiTheme="minorHAnsi" w:cs="Garamond-Bold"/>
          <w:spacing w:val="-10"/>
        </w:rPr>
        <w:t>2023: M.Ed. Clinical Mental Health Counseling</w:t>
      </w:r>
    </w:p>
    <w:p w14:paraId="06BB8BF8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pacing w:val="-10"/>
        </w:rPr>
      </w:pPr>
    </w:p>
    <w:p w14:paraId="63F563FC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pacing w:val="-10"/>
        </w:rPr>
      </w:pPr>
      <w:r>
        <w:rPr>
          <w:rFonts w:asciiTheme="minorHAnsi" w:hAnsiTheme="minorHAnsi" w:cs="Garamond-Bold"/>
          <w:b/>
          <w:bCs/>
          <w:spacing w:val="-10"/>
        </w:rPr>
        <w:t>Licensure</w:t>
      </w:r>
    </w:p>
    <w:p w14:paraId="5809B1E8" w14:textId="567BAAFC" w:rsidR="003C6F09" w:rsidRPr="003C0732" w:rsidRDefault="003C6F09" w:rsidP="003C6F09">
      <w:pPr>
        <w:pStyle w:val="BasicParagraph"/>
        <w:numPr>
          <w:ilvl w:val="0"/>
          <w:numId w:val="2"/>
        </w:numPr>
        <w:spacing w:line="240" w:lineRule="auto"/>
        <w:rPr>
          <w:rFonts w:asciiTheme="minorHAnsi" w:hAnsiTheme="minorHAnsi" w:cs="Garamond-Bold"/>
          <w:spacing w:val="-10"/>
        </w:rPr>
      </w:pPr>
      <w:r w:rsidRPr="003C0732">
        <w:rPr>
          <w:rFonts w:asciiTheme="minorHAnsi" w:hAnsiTheme="minorHAnsi" w:cs="Garamond-Bold"/>
          <w:spacing w:val="-10"/>
        </w:rPr>
        <w:t>Licensed Clinical Mental Health Counselor: State</w:t>
      </w:r>
      <w:r w:rsidR="00B4302D">
        <w:rPr>
          <w:rFonts w:asciiTheme="minorHAnsi" w:hAnsiTheme="minorHAnsi" w:cs="Garamond-Bold"/>
          <w:spacing w:val="-10"/>
        </w:rPr>
        <w:t>s</w:t>
      </w:r>
      <w:r w:rsidRPr="003C0732">
        <w:rPr>
          <w:rFonts w:asciiTheme="minorHAnsi" w:hAnsiTheme="minorHAnsi" w:cs="Garamond-Bold"/>
          <w:spacing w:val="-10"/>
        </w:rPr>
        <w:t xml:space="preserve"> of NC</w:t>
      </w:r>
      <w:r w:rsidR="00B4302D">
        <w:rPr>
          <w:rFonts w:asciiTheme="minorHAnsi" w:hAnsiTheme="minorHAnsi" w:cs="Garamond-Bold"/>
          <w:spacing w:val="-10"/>
        </w:rPr>
        <w:t xml:space="preserve"> and SC</w:t>
      </w:r>
    </w:p>
    <w:p w14:paraId="06FAF8B0" w14:textId="5DA3FAFD" w:rsidR="003C6F09" w:rsidRPr="003C0732" w:rsidRDefault="003C6F09" w:rsidP="003C6F09">
      <w:pPr>
        <w:pStyle w:val="BasicParagraph"/>
        <w:numPr>
          <w:ilvl w:val="0"/>
          <w:numId w:val="2"/>
        </w:numPr>
        <w:spacing w:line="240" w:lineRule="auto"/>
        <w:rPr>
          <w:rFonts w:asciiTheme="minorHAnsi" w:hAnsiTheme="minorHAnsi" w:cs="Garamond-Bold"/>
          <w:spacing w:val="-10"/>
        </w:rPr>
      </w:pPr>
      <w:r w:rsidRPr="003C0732">
        <w:rPr>
          <w:rFonts w:asciiTheme="minorHAnsi" w:hAnsiTheme="minorHAnsi" w:cs="Garamond-Bold"/>
          <w:spacing w:val="-10"/>
        </w:rPr>
        <w:t>Licensed Clinical Addictions Specialist: State of NC</w:t>
      </w:r>
    </w:p>
    <w:p w14:paraId="65231E86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pacing w:val="-10"/>
        </w:rPr>
      </w:pPr>
    </w:p>
    <w:p w14:paraId="0F56E96D" w14:textId="77777777" w:rsidR="003C6F09" w:rsidRPr="00147584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pacing w:val="-10"/>
        </w:rPr>
      </w:pPr>
      <w:r w:rsidRPr="00147584">
        <w:rPr>
          <w:rFonts w:asciiTheme="minorHAnsi" w:hAnsiTheme="minorHAnsi" w:cs="Garamond-Bold"/>
          <w:b/>
          <w:bCs/>
          <w:spacing w:val="-10"/>
        </w:rPr>
        <w:t>University of Minnesota, Department of Theatre Arts and Dance</w:t>
      </w:r>
    </w:p>
    <w:p w14:paraId="1445BFE9" w14:textId="77777777" w:rsidR="003C6F09" w:rsidRDefault="003C6F09" w:rsidP="003C6F09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="Garamond"/>
        </w:rPr>
      </w:pPr>
      <w:r w:rsidRPr="3D197224">
        <w:rPr>
          <w:rFonts w:asciiTheme="minorHAnsi" w:hAnsiTheme="minorHAnsi" w:cs="Garamond"/>
        </w:rPr>
        <w:t>2010: Ph.D. in Theatre Arts (Historiography)</w:t>
      </w:r>
    </w:p>
    <w:p w14:paraId="52E001CB" w14:textId="77777777" w:rsidR="003C6F09" w:rsidRPr="00DC5D57" w:rsidRDefault="003C6F09" w:rsidP="003C6F09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="Garamond"/>
          <w:szCs w:val="26"/>
        </w:rPr>
      </w:pPr>
      <w:r w:rsidRPr="00DC5D57">
        <w:rPr>
          <w:rFonts w:asciiTheme="minorHAnsi" w:hAnsiTheme="minorHAnsi" w:cs="Garamond"/>
          <w:szCs w:val="26"/>
        </w:rPr>
        <w:t xml:space="preserve">2008: M.A. in Theatre Arts (Historiography) </w:t>
      </w:r>
    </w:p>
    <w:p w14:paraId="76B1B2C4" w14:textId="77777777" w:rsidR="003C6F09" w:rsidRPr="00DC5D57" w:rsidRDefault="003C6F09" w:rsidP="003C6F09">
      <w:pPr>
        <w:pStyle w:val="BasicParagraph"/>
        <w:spacing w:line="240" w:lineRule="auto"/>
        <w:ind w:left="450"/>
        <w:rPr>
          <w:rFonts w:asciiTheme="minorHAnsi" w:hAnsiTheme="minorHAnsi" w:cs="Garamond"/>
          <w:szCs w:val="26"/>
        </w:rPr>
      </w:pPr>
    </w:p>
    <w:p w14:paraId="1A240A3B" w14:textId="77777777" w:rsidR="003C6F09" w:rsidRPr="00147584" w:rsidRDefault="003C6F09" w:rsidP="003C6F09">
      <w:pPr>
        <w:pStyle w:val="BasicParagraph"/>
        <w:spacing w:line="240" w:lineRule="auto"/>
        <w:rPr>
          <w:rFonts w:asciiTheme="minorHAnsi" w:hAnsiTheme="minorHAnsi" w:cs="Garamond"/>
        </w:rPr>
      </w:pPr>
      <w:r w:rsidRPr="00147584">
        <w:rPr>
          <w:rFonts w:asciiTheme="minorHAnsi" w:hAnsiTheme="minorHAnsi" w:cs="Garamond-Bold"/>
          <w:b/>
          <w:bCs/>
        </w:rPr>
        <w:t>New York University, Tisch School of the Arts</w:t>
      </w:r>
    </w:p>
    <w:p w14:paraId="73A94B07" w14:textId="77777777" w:rsidR="003C6F09" w:rsidRPr="00DC5D57" w:rsidRDefault="003C6F09" w:rsidP="003C6F09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="Garamond"/>
        </w:rPr>
      </w:pPr>
      <w:r w:rsidRPr="3D197224">
        <w:rPr>
          <w:rFonts w:asciiTheme="minorHAnsi" w:hAnsiTheme="minorHAnsi" w:cs="Garamond"/>
        </w:rPr>
        <w:t xml:space="preserve">2002: B.F.A. in Acting (Experimental Theatre Wing), Honors in Theatre Theory </w:t>
      </w:r>
    </w:p>
    <w:p w14:paraId="7F3675AF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z w:val="26"/>
          <w:szCs w:val="28"/>
          <w:u w:val="single"/>
        </w:rPr>
      </w:pPr>
    </w:p>
    <w:p w14:paraId="674DB18F" w14:textId="77777777" w:rsidR="003C6F09" w:rsidRPr="00AF624D" w:rsidRDefault="003C6F09" w:rsidP="003C6F09">
      <w:pPr>
        <w:pStyle w:val="BasicParagraph"/>
        <w:spacing w:line="240" w:lineRule="auto"/>
        <w:rPr>
          <w:rFonts w:asciiTheme="minorHAnsi" w:hAnsiTheme="minorHAnsi" w:cs="Garamond-Bold"/>
          <w:b/>
          <w:bCs/>
          <w:szCs w:val="28"/>
          <w:u w:val="single"/>
        </w:rPr>
      </w:pPr>
      <w:r w:rsidRPr="00AC3E93">
        <w:rPr>
          <w:rFonts w:asciiTheme="minorHAnsi" w:hAnsiTheme="minorHAnsi" w:cs="Garamond-Bold"/>
          <w:b/>
          <w:bCs/>
          <w:sz w:val="26"/>
          <w:szCs w:val="28"/>
          <w:u w:val="single"/>
        </w:rPr>
        <w:t>PUBLICATIONS</w:t>
      </w:r>
    </w:p>
    <w:p w14:paraId="2AA1A5E0" w14:textId="77777777" w:rsidR="003C6F09" w:rsidRDefault="003C6F09" w:rsidP="003C6F09">
      <w:pPr>
        <w:pStyle w:val="BasicParagraph"/>
        <w:tabs>
          <w:tab w:val="left" w:pos="36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16653D92" w14:textId="77777777" w:rsidR="003C6F09" w:rsidRPr="00010BA3" w:rsidRDefault="003C6F09" w:rsidP="003C6F09">
      <w:pPr>
        <w:pStyle w:val="BasicParagraph"/>
        <w:tabs>
          <w:tab w:val="left" w:pos="720"/>
        </w:tabs>
        <w:spacing w:line="240" w:lineRule="auto"/>
        <w:rPr>
          <w:rFonts w:asciiTheme="minorHAnsi" w:hAnsiTheme="minorHAnsi" w:cs="Garamond"/>
          <w:b/>
          <w:bCs/>
          <w:smallCaps/>
          <w:spacing w:val="-5"/>
          <w:sz w:val="26"/>
          <w:szCs w:val="26"/>
          <w:u w:val="single"/>
        </w:rPr>
      </w:pPr>
      <w:r w:rsidRPr="00010BA3">
        <w:rPr>
          <w:rFonts w:asciiTheme="minorHAnsi" w:hAnsiTheme="minorHAnsi" w:cs="Garamond"/>
          <w:b/>
          <w:bCs/>
          <w:smallCaps/>
          <w:spacing w:val="-5"/>
          <w:sz w:val="26"/>
          <w:szCs w:val="26"/>
          <w:u w:val="single"/>
        </w:rPr>
        <w:t>Editing</w:t>
      </w:r>
    </w:p>
    <w:p w14:paraId="44F7D08C" w14:textId="77777777" w:rsidR="003C6F09" w:rsidRPr="00AF624D" w:rsidRDefault="003C6F09" w:rsidP="003C6F09">
      <w:pPr>
        <w:pStyle w:val="BasicParagraph"/>
        <w:tabs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  <w:r w:rsidRPr="3D197224">
        <w:rPr>
          <w:rFonts w:asciiTheme="minorHAnsi" w:hAnsiTheme="minorHAnsi" w:cs="Garamond"/>
          <w:b/>
          <w:bCs/>
          <w:spacing w:val="-5"/>
        </w:rPr>
        <w:t>Anthologies</w:t>
      </w:r>
    </w:p>
    <w:p w14:paraId="720861C6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</w:rPr>
      </w:pPr>
      <w:r w:rsidRPr="00D21F34">
        <w:rPr>
          <w:rFonts w:asciiTheme="minorHAnsi" w:hAnsiTheme="minorHAnsi" w:cs="Garamond"/>
          <w:i/>
          <w:iCs/>
        </w:rPr>
        <w:t xml:space="preserve">Glimmerings and Constellations: Creative and Critical Responses / Selected Plays of Jay Wright, Volume </w:t>
      </w:r>
      <w:r w:rsidRPr="00D21F34">
        <w:rPr>
          <w:rFonts w:asciiTheme="minorHAnsi" w:hAnsiTheme="minorHAnsi" w:cs="Garamond"/>
        </w:rPr>
        <w:t>Three</w:t>
      </w:r>
      <w:r>
        <w:rPr>
          <w:rFonts w:asciiTheme="minorHAnsi" w:hAnsiTheme="minorHAnsi" w:cs="Garamond"/>
        </w:rPr>
        <w:t xml:space="preserve">. Chicago, IL: </w:t>
      </w:r>
      <w:r w:rsidRPr="00D21F34">
        <w:rPr>
          <w:rFonts w:asciiTheme="minorHAnsi" w:hAnsiTheme="minorHAnsi" w:cs="Garamond"/>
        </w:rPr>
        <w:t>Kenning</w:t>
      </w:r>
      <w:r w:rsidRPr="3D197224">
        <w:rPr>
          <w:rFonts w:asciiTheme="minorHAnsi" w:hAnsiTheme="minorHAnsi" w:cs="Garamond"/>
        </w:rPr>
        <w:t xml:space="preserve"> Editions and Every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ouse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as </w:t>
      </w:r>
      <w:r>
        <w:rPr>
          <w:rFonts w:asciiTheme="minorHAnsi" w:hAnsiTheme="minorHAnsi" w:cs="Garamond"/>
        </w:rPr>
        <w:t>a</w:t>
      </w:r>
      <w:r w:rsidRPr="3D197224">
        <w:rPr>
          <w:rFonts w:asciiTheme="minorHAnsi" w:hAnsiTheme="minorHAnsi" w:cs="Garamond"/>
        </w:rPr>
        <w:t xml:space="preserve"> </w:t>
      </w:r>
      <w:r>
        <w:rPr>
          <w:rFonts w:asciiTheme="minorHAnsi" w:hAnsiTheme="minorHAnsi" w:cs="Garamond"/>
        </w:rPr>
        <w:t>d</w:t>
      </w:r>
      <w:r w:rsidRPr="3D197224">
        <w:rPr>
          <w:rFonts w:asciiTheme="minorHAnsi" w:hAnsiTheme="minorHAnsi" w:cs="Garamond"/>
        </w:rPr>
        <w:t>oor</w:t>
      </w:r>
      <w:r>
        <w:rPr>
          <w:rFonts w:asciiTheme="minorHAnsi" w:hAnsiTheme="minorHAnsi" w:cs="Garamond"/>
        </w:rPr>
        <w:t>, 2023.</w:t>
      </w:r>
    </w:p>
    <w:p w14:paraId="469BDDBE" w14:textId="77777777" w:rsidR="003C6F09" w:rsidRPr="00D21F34" w:rsidRDefault="003C6F09" w:rsidP="003C6F09">
      <w:pPr>
        <w:pStyle w:val="BasicParagraph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Co-edited with Harry Wilson, </w:t>
      </w:r>
      <w:r w:rsidRPr="00D21F34">
        <w:rPr>
          <w:rFonts w:asciiTheme="minorHAnsi" w:hAnsiTheme="minorHAnsi" w:cs="Garamond"/>
          <w:i/>
          <w:iCs/>
        </w:rPr>
        <w:t>Rethinking Roland Barthes Through Performance</w:t>
      </w:r>
      <w:r>
        <w:rPr>
          <w:rFonts w:asciiTheme="minorHAnsi" w:hAnsiTheme="minorHAnsi" w:cs="Garamond"/>
          <w:i/>
          <w:iCs/>
        </w:rPr>
        <w:t xml:space="preserve">: </w:t>
      </w:r>
      <w:r w:rsidRPr="00D21F34">
        <w:rPr>
          <w:rFonts w:asciiTheme="minorHAnsi" w:hAnsiTheme="minorHAnsi" w:cs="Garamond"/>
          <w:i/>
          <w:iCs/>
        </w:rPr>
        <w:t>A Desire for Neutral Dramaturgy</w:t>
      </w:r>
      <w:r>
        <w:rPr>
          <w:rFonts w:asciiTheme="minorHAnsi" w:hAnsiTheme="minorHAnsi" w:cs="Garamond"/>
        </w:rPr>
        <w:t>. London: Bloomsbury/Methuen, 2023.</w:t>
      </w:r>
    </w:p>
    <w:p w14:paraId="6496A2C1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Project Editor,</w:t>
      </w:r>
      <w:r w:rsidRPr="3D197224">
        <w:rPr>
          <w:rFonts w:asciiTheme="minorHAnsi" w:hAnsiTheme="minorHAnsi" w:cs="Garamond"/>
        </w:rPr>
        <w:t xml:space="preserve"> </w:t>
      </w:r>
      <w:r w:rsidRPr="3D197224">
        <w:rPr>
          <w:rFonts w:asciiTheme="minorHAnsi" w:hAnsiTheme="minorHAnsi" w:cs="Garamond"/>
          <w:i/>
          <w:iCs/>
        </w:rPr>
        <w:t>Selected Plays of Jay Wright</w:t>
      </w:r>
      <w:r w:rsidRPr="3D197224">
        <w:rPr>
          <w:rFonts w:asciiTheme="minorHAnsi" w:hAnsiTheme="minorHAnsi" w:cs="Garamond"/>
        </w:rPr>
        <w:t>, vol</w:t>
      </w:r>
      <w:r>
        <w:rPr>
          <w:rFonts w:asciiTheme="minorHAnsi" w:hAnsiTheme="minorHAnsi" w:cs="Garamond"/>
        </w:rPr>
        <w:t>s. 1 and 2. Chicago, IL:</w:t>
      </w:r>
      <w:r w:rsidRPr="3D197224">
        <w:rPr>
          <w:rFonts w:asciiTheme="minorHAnsi" w:hAnsiTheme="minorHAnsi" w:cs="Garamond"/>
        </w:rPr>
        <w:t xml:space="preserve"> Kenning Editions and Every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ouse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as </w:t>
      </w:r>
      <w:r>
        <w:rPr>
          <w:rFonts w:asciiTheme="minorHAnsi" w:hAnsiTheme="minorHAnsi" w:cs="Garamond"/>
        </w:rPr>
        <w:t>a</w:t>
      </w:r>
      <w:r w:rsidRPr="3D197224">
        <w:rPr>
          <w:rFonts w:asciiTheme="minorHAnsi" w:hAnsiTheme="minorHAnsi" w:cs="Garamond"/>
        </w:rPr>
        <w:t xml:space="preserve"> </w:t>
      </w:r>
      <w:r>
        <w:rPr>
          <w:rFonts w:asciiTheme="minorHAnsi" w:hAnsiTheme="minorHAnsi" w:cs="Garamond"/>
        </w:rPr>
        <w:t>d</w:t>
      </w:r>
      <w:r w:rsidRPr="3D197224">
        <w:rPr>
          <w:rFonts w:asciiTheme="minorHAnsi" w:hAnsiTheme="minorHAnsi" w:cs="Garamond"/>
        </w:rPr>
        <w:t>oo</w:t>
      </w:r>
      <w:r>
        <w:rPr>
          <w:rFonts w:asciiTheme="minorHAnsi" w:hAnsiTheme="minorHAnsi" w:cs="Garamond"/>
        </w:rPr>
        <w:t>r, 2022.</w:t>
      </w:r>
    </w:p>
    <w:p w14:paraId="01EEB310" w14:textId="77777777" w:rsidR="003C6F09" w:rsidRPr="00800A40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>Co-edited with Karoline Gritzner,</w:t>
      </w:r>
      <w:r w:rsidRPr="00AC3E93">
        <w:rPr>
          <w:rFonts w:asciiTheme="minorHAnsi" w:hAnsiTheme="minorHAnsi" w:cs="Garamond"/>
          <w:i/>
          <w:spacing w:val="-5"/>
        </w:rPr>
        <w:t xml:space="preserve"> Adorno and Performance</w:t>
      </w:r>
      <w:r>
        <w:rPr>
          <w:rFonts w:asciiTheme="minorHAnsi" w:hAnsiTheme="minorHAnsi" w:cs="Garamond"/>
          <w:spacing w:val="-5"/>
        </w:rPr>
        <w:t>. Basingstoke, UK: Palgrave Macmillan, 2014. Performance Philosophy Series.</w:t>
      </w:r>
    </w:p>
    <w:p w14:paraId="3D582456" w14:textId="77777777" w:rsidR="003C6F09" w:rsidRPr="00A8753F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  <w:szCs w:val="26"/>
        </w:rPr>
      </w:pPr>
      <w:r>
        <w:rPr>
          <w:rFonts w:asciiTheme="minorHAnsi" w:hAnsiTheme="minorHAnsi" w:cs="Garamond-Italic"/>
          <w:iCs/>
          <w:spacing w:val="-5"/>
          <w:szCs w:val="26"/>
        </w:rPr>
        <w:t xml:space="preserve">Co-edited with Laura Cull, </w:t>
      </w:r>
      <w:r w:rsidRPr="00AC3E93">
        <w:rPr>
          <w:rFonts w:asciiTheme="minorHAnsi" w:hAnsiTheme="minorHAnsi" w:cs="Garamond-Italic"/>
          <w:i/>
          <w:iCs/>
          <w:spacing w:val="-5"/>
          <w:szCs w:val="26"/>
        </w:rPr>
        <w:t>Manifesto Now! Instructions for Performance, Philosophy, Politics.</w:t>
      </w:r>
      <w:r w:rsidRPr="00AC3E93">
        <w:rPr>
          <w:rFonts w:asciiTheme="minorHAnsi" w:hAnsiTheme="minorHAnsi" w:cs="Garamond-Italic"/>
          <w:iCs/>
          <w:spacing w:val="-5"/>
          <w:szCs w:val="26"/>
        </w:rPr>
        <w:t xml:space="preserve"> </w:t>
      </w:r>
      <w:r w:rsidRPr="00AC3E93">
        <w:rPr>
          <w:rFonts w:asciiTheme="minorHAnsi" w:hAnsiTheme="minorHAnsi" w:cs="Garamond"/>
          <w:spacing w:val="-5"/>
          <w:szCs w:val="26"/>
        </w:rPr>
        <w:t>Bri</w:t>
      </w:r>
      <w:r>
        <w:rPr>
          <w:rFonts w:asciiTheme="minorHAnsi" w:hAnsiTheme="minorHAnsi" w:cs="Garamond"/>
          <w:spacing w:val="-5"/>
          <w:szCs w:val="26"/>
        </w:rPr>
        <w:t>stol, UK: Intellect Books,</w:t>
      </w:r>
      <w:r w:rsidRPr="00AC3E93">
        <w:rPr>
          <w:rFonts w:asciiTheme="minorHAnsi" w:hAnsiTheme="minorHAnsi" w:cs="Garamond"/>
          <w:spacing w:val="-5"/>
          <w:szCs w:val="26"/>
        </w:rPr>
        <w:t xml:space="preserve"> 2013</w:t>
      </w:r>
      <w:r>
        <w:rPr>
          <w:rFonts w:asciiTheme="minorHAnsi" w:hAnsiTheme="minorHAnsi" w:cs="Garamond"/>
          <w:spacing w:val="-5"/>
          <w:szCs w:val="26"/>
        </w:rPr>
        <w:t>.</w:t>
      </w:r>
    </w:p>
    <w:p w14:paraId="7976C192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"/>
          <w:b/>
          <w:bCs/>
          <w:spacing w:val="-5"/>
        </w:rPr>
      </w:pPr>
    </w:p>
    <w:p w14:paraId="5BECF613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"/>
          <w:b/>
          <w:spacing w:val="-5"/>
        </w:rPr>
      </w:pPr>
      <w:r>
        <w:rPr>
          <w:rFonts w:asciiTheme="minorHAnsi" w:hAnsiTheme="minorHAnsi" w:cs="Garamond"/>
          <w:b/>
          <w:spacing w:val="-5"/>
        </w:rPr>
        <w:t>Journals</w:t>
      </w:r>
    </w:p>
    <w:p w14:paraId="2CA9104B" w14:textId="77777777" w:rsidR="003C6F09" w:rsidRPr="003C0732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Co-editor with Laura Cull Ó </w:t>
      </w:r>
      <w:proofErr w:type="spellStart"/>
      <w:r>
        <w:rPr>
          <w:rFonts w:asciiTheme="minorHAnsi" w:hAnsiTheme="minorHAnsi" w:cs="Garamond"/>
          <w:spacing w:val="-5"/>
        </w:rPr>
        <w:t>Maoilearca</w:t>
      </w:r>
      <w:proofErr w:type="spellEnd"/>
      <w:r>
        <w:rPr>
          <w:rFonts w:asciiTheme="minorHAnsi" w:hAnsiTheme="minorHAnsi" w:cs="Garamond"/>
          <w:spacing w:val="-5"/>
        </w:rPr>
        <w:t xml:space="preserve"> and Rajni Shah, </w:t>
      </w:r>
      <w:r>
        <w:rPr>
          <w:rFonts w:asciiTheme="minorHAnsi" w:hAnsiTheme="minorHAnsi" w:cs="Garamond"/>
          <w:i/>
          <w:iCs/>
          <w:spacing w:val="-5"/>
        </w:rPr>
        <w:t xml:space="preserve">Performance Philosophy </w:t>
      </w:r>
      <w:r>
        <w:rPr>
          <w:rFonts w:asciiTheme="minorHAnsi" w:hAnsiTheme="minorHAnsi" w:cs="Garamond"/>
          <w:spacing w:val="-5"/>
        </w:rPr>
        <w:t>9.2 (Forthcoming December 2024).</w:t>
      </w:r>
    </w:p>
    <w:p w14:paraId="6CE2DB78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Co-editor with Laura Cull Ó Maoilearca, Theron Schmidt, and Diana Damian Martin, </w:t>
      </w:r>
      <w:r>
        <w:rPr>
          <w:rFonts w:asciiTheme="minorHAnsi" w:hAnsiTheme="minorHAnsi" w:cs="Garamond"/>
          <w:i/>
          <w:spacing w:val="-5"/>
        </w:rPr>
        <w:t>Performance Philosophy</w:t>
      </w:r>
      <w:r>
        <w:rPr>
          <w:rFonts w:asciiTheme="minorHAnsi" w:hAnsiTheme="minorHAnsi" w:cs="Garamond"/>
          <w:spacing w:val="-5"/>
        </w:rPr>
        <w:t xml:space="preserve"> 7.2 (March 2022).</w:t>
      </w:r>
    </w:p>
    <w:p w14:paraId="560A7CB5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lastRenderedPageBreak/>
        <w:t xml:space="preserve">Co-editor with Eve Katsouraki, </w:t>
      </w:r>
      <w:r>
        <w:rPr>
          <w:rFonts w:asciiTheme="minorHAnsi" w:hAnsiTheme="minorHAnsi" w:cs="Garamond"/>
          <w:i/>
          <w:spacing w:val="-5"/>
        </w:rPr>
        <w:t>Performance Philosophy</w:t>
      </w:r>
      <w:r>
        <w:rPr>
          <w:rFonts w:asciiTheme="minorHAnsi" w:hAnsiTheme="minorHAnsi" w:cs="Garamond"/>
          <w:spacing w:val="-5"/>
        </w:rPr>
        <w:t xml:space="preserve"> 4.2 (January 2019).</w:t>
      </w:r>
    </w:p>
    <w:p w14:paraId="6B5F1E2B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Co-editor with Theron Schmidt, </w:t>
      </w:r>
      <w:r>
        <w:rPr>
          <w:rFonts w:asciiTheme="minorHAnsi" w:hAnsiTheme="minorHAnsi" w:cs="Garamond"/>
          <w:i/>
          <w:spacing w:val="-5"/>
        </w:rPr>
        <w:t>Krisis</w:t>
      </w:r>
      <w:r>
        <w:rPr>
          <w:rFonts w:asciiTheme="minorHAnsi" w:hAnsiTheme="minorHAnsi" w:cs="Garamond"/>
          <w:iCs/>
          <w:spacing w:val="-5"/>
        </w:rPr>
        <w:t>/Crisis</w:t>
      </w:r>
      <w:r>
        <w:rPr>
          <w:rFonts w:asciiTheme="minorHAnsi" w:hAnsiTheme="minorHAnsi" w:cs="Garamond"/>
          <w:spacing w:val="-5"/>
        </w:rPr>
        <w:t xml:space="preserve">. Spec. issue of </w:t>
      </w:r>
      <w:r>
        <w:rPr>
          <w:rFonts w:asciiTheme="minorHAnsi" w:hAnsiTheme="minorHAnsi" w:cs="Garamond"/>
          <w:i/>
          <w:spacing w:val="-5"/>
        </w:rPr>
        <w:t>Performance Philosophy</w:t>
      </w:r>
      <w:r>
        <w:rPr>
          <w:rFonts w:asciiTheme="minorHAnsi" w:hAnsiTheme="minorHAnsi" w:cs="Garamond"/>
          <w:spacing w:val="-5"/>
        </w:rPr>
        <w:t xml:space="preserve"> 4.1 (June 2018).</w:t>
      </w:r>
    </w:p>
    <w:p w14:paraId="3B153F79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Co-editor with Ioana </w:t>
      </w:r>
      <w:proofErr w:type="spellStart"/>
      <w:r>
        <w:rPr>
          <w:rFonts w:asciiTheme="minorHAnsi" w:hAnsiTheme="minorHAnsi" w:cs="Garamond"/>
          <w:spacing w:val="-5"/>
        </w:rPr>
        <w:t>Jucan</w:t>
      </w:r>
      <w:proofErr w:type="spellEnd"/>
      <w:r>
        <w:rPr>
          <w:rFonts w:asciiTheme="minorHAnsi" w:hAnsiTheme="minorHAnsi" w:cs="Garamond"/>
          <w:spacing w:val="-5"/>
        </w:rPr>
        <w:t xml:space="preserve"> of </w:t>
      </w:r>
      <w:proofErr w:type="spellStart"/>
      <w:r>
        <w:rPr>
          <w:rFonts w:asciiTheme="minorHAnsi" w:hAnsiTheme="minorHAnsi" w:cs="Garamond"/>
          <w:spacing w:val="-5"/>
        </w:rPr>
        <w:t>ReView</w:t>
      </w:r>
      <w:proofErr w:type="spellEnd"/>
      <w:r>
        <w:rPr>
          <w:rFonts w:asciiTheme="minorHAnsi" w:hAnsiTheme="minorHAnsi" w:cs="Garamond"/>
          <w:spacing w:val="-5"/>
        </w:rPr>
        <w:t xml:space="preserve"> for the </w:t>
      </w:r>
      <w:r>
        <w:rPr>
          <w:rFonts w:asciiTheme="minorHAnsi" w:hAnsiTheme="minorHAnsi" w:cs="Garamond"/>
          <w:i/>
          <w:spacing w:val="-5"/>
        </w:rPr>
        <w:t>Performance Philosophy</w:t>
      </w:r>
      <w:r>
        <w:rPr>
          <w:rFonts w:asciiTheme="minorHAnsi" w:hAnsiTheme="minorHAnsi" w:cs="Garamond"/>
          <w:spacing w:val="-5"/>
        </w:rPr>
        <w:t xml:space="preserve"> journal. November 2016–Present.</w:t>
      </w:r>
    </w:p>
    <w:p w14:paraId="3930D55B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Co-editor with Wade Hollingshaus, </w:t>
      </w:r>
      <w:r>
        <w:rPr>
          <w:rFonts w:asciiTheme="minorHAnsi" w:hAnsiTheme="minorHAnsi" w:cs="Garamond"/>
          <w:i/>
          <w:spacing w:val="-5"/>
        </w:rPr>
        <w:t xml:space="preserve">Performance Philosophy Pedagogy. </w:t>
      </w:r>
      <w:r>
        <w:rPr>
          <w:rFonts w:asciiTheme="minorHAnsi" w:hAnsiTheme="minorHAnsi" w:cs="Garamond"/>
          <w:spacing w:val="-5"/>
        </w:rPr>
        <w:t xml:space="preserve">Spec. issue of </w:t>
      </w:r>
      <w:r>
        <w:rPr>
          <w:rFonts w:asciiTheme="minorHAnsi" w:hAnsiTheme="minorHAnsi" w:cs="Garamond"/>
          <w:i/>
          <w:spacing w:val="-5"/>
        </w:rPr>
        <w:t>Theater Topics</w:t>
      </w:r>
      <w:r>
        <w:rPr>
          <w:rFonts w:asciiTheme="minorHAnsi" w:hAnsiTheme="minorHAnsi" w:cs="Garamond"/>
          <w:spacing w:val="-5"/>
        </w:rPr>
        <w:t xml:space="preserve"> 25:1 (March 2015). </w:t>
      </w:r>
    </w:p>
    <w:p w14:paraId="2175DA14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</w:p>
    <w:p w14:paraId="413BF8D3" w14:textId="77777777" w:rsidR="003C6F09" w:rsidRDefault="003C6F09" w:rsidP="003C6F09">
      <w:pPr>
        <w:pStyle w:val="BasicParagraph"/>
        <w:spacing w:line="240" w:lineRule="auto"/>
        <w:rPr>
          <w:rFonts w:asciiTheme="minorHAnsi" w:hAnsiTheme="minorHAnsi" w:cs="Garamond"/>
          <w:b/>
          <w:spacing w:val="-5"/>
        </w:rPr>
      </w:pPr>
      <w:r>
        <w:rPr>
          <w:rFonts w:asciiTheme="minorHAnsi" w:hAnsiTheme="minorHAnsi" w:cs="Garamond"/>
          <w:b/>
          <w:spacing w:val="-5"/>
        </w:rPr>
        <w:t>Series Editor</w:t>
      </w:r>
    </w:p>
    <w:p w14:paraId="34C57C09" w14:textId="681D3DA1" w:rsidR="003C6F09" w:rsidRDefault="003C6F09" w:rsidP="003C6F09">
      <w:pPr>
        <w:pStyle w:val="BasicParagraph"/>
        <w:spacing w:line="240" w:lineRule="auto"/>
        <w:rPr>
          <w:rFonts w:asciiTheme="minorHAnsi" w:hAnsiTheme="minorHAnsi" w:cs="Garamond"/>
          <w:b/>
          <w:bCs/>
          <w:spacing w:val="-5"/>
        </w:rPr>
      </w:pPr>
      <w:r w:rsidRPr="3D197224">
        <w:rPr>
          <w:rFonts w:asciiTheme="minorHAnsi" w:hAnsiTheme="minorHAnsi" w:cs="Garamond"/>
          <w:spacing w:val="-5"/>
        </w:rPr>
        <w:t>Co-editor with Alice Lagaay and Laura Cull Ó Maoilearca, Performance Philosophy</w:t>
      </w:r>
      <w:r>
        <w:rPr>
          <w:rFonts w:asciiTheme="minorHAnsi" w:hAnsiTheme="minorHAnsi" w:cs="Garamond"/>
          <w:spacing w:val="-5"/>
        </w:rPr>
        <w:t xml:space="preserve"> Book Series</w:t>
      </w:r>
      <w:r w:rsidRPr="3D197224">
        <w:rPr>
          <w:rFonts w:asciiTheme="minorHAnsi" w:hAnsiTheme="minorHAnsi" w:cs="Garamond"/>
          <w:spacing w:val="-5"/>
        </w:rPr>
        <w:t xml:space="preserve">. </w:t>
      </w:r>
      <w:r w:rsidR="00B4302D">
        <w:rPr>
          <w:rFonts w:asciiTheme="minorHAnsi" w:hAnsiTheme="minorHAnsi" w:cs="Garamond"/>
          <w:spacing w:val="-5"/>
        </w:rPr>
        <w:t>Bloomsbury</w:t>
      </w:r>
      <w:r w:rsidRPr="3D197224">
        <w:rPr>
          <w:rFonts w:asciiTheme="minorHAnsi" w:hAnsiTheme="minorHAnsi" w:cs="Garamond"/>
          <w:spacing w:val="-5"/>
        </w:rPr>
        <w:t xml:space="preserve"> (previously </w:t>
      </w:r>
      <w:r w:rsidR="00B4302D">
        <w:rPr>
          <w:rFonts w:asciiTheme="minorHAnsi" w:hAnsiTheme="minorHAnsi" w:cs="Garamond"/>
          <w:spacing w:val="-5"/>
        </w:rPr>
        <w:t xml:space="preserve">Rowman and Littlefield and </w:t>
      </w:r>
      <w:r w:rsidRPr="3D197224">
        <w:rPr>
          <w:rFonts w:asciiTheme="minorHAnsi" w:hAnsiTheme="minorHAnsi" w:cs="Garamond"/>
          <w:spacing w:val="-5"/>
        </w:rPr>
        <w:t>Palgrave/Springer). 2015–Present</w:t>
      </w:r>
      <w:r>
        <w:rPr>
          <w:rFonts w:asciiTheme="minorHAnsi" w:hAnsiTheme="minorHAnsi" w:cs="Garamond"/>
          <w:spacing w:val="-5"/>
        </w:rPr>
        <w:t xml:space="preserve"> (20+ Titles)</w:t>
      </w:r>
      <w:r w:rsidRPr="3D197224">
        <w:rPr>
          <w:rFonts w:asciiTheme="minorHAnsi" w:hAnsiTheme="minorHAnsi" w:cs="Garamond"/>
          <w:spacing w:val="-5"/>
        </w:rPr>
        <w:t>.</w:t>
      </w:r>
    </w:p>
    <w:p w14:paraId="173446C1" w14:textId="77777777" w:rsidR="003C6F09" w:rsidRDefault="003C6F09" w:rsidP="003C6F09">
      <w:pPr>
        <w:pStyle w:val="BasicParagraph"/>
        <w:tabs>
          <w:tab w:val="left" w:pos="36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4B8B19A7" w14:textId="77777777" w:rsidR="003C6F09" w:rsidRPr="00010BA3" w:rsidRDefault="003C6F09" w:rsidP="003C6F09">
      <w:pPr>
        <w:pStyle w:val="BasicParagraph"/>
        <w:tabs>
          <w:tab w:val="left" w:pos="720"/>
        </w:tabs>
        <w:spacing w:line="240" w:lineRule="auto"/>
        <w:rPr>
          <w:rFonts w:asciiTheme="minorHAnsi" w:hAnsiTheme="minorHAnsi" w:cs="Garamond"/>
          <w:b/>
          <w:bCs/>
          <w:smallCaps/>
          <w:spacing w:val="-5"/>
          <w:sz w:val="26"/>
          <w:szCs w:val="26"/>
          <w:u w:val="single"/>
        </w:rPr>
      </w:pPr>
      <w:r w:rsidRPr="00010BA3">
        <w:rPr>
          <w:rFonts w:asciiTheme="minorHAnsi" w:hAnsiTheme="minorHAnsi" w:cs="Garamond"/>
          <w:b/>
          <w:bCs/>
          <w:smallCaps/>
          <w:spacing w:val="-5"/>
          <w:sz w:val="26"/>
          <w:szCs w:val="26"/>
          <w:u w:val="single"/>
        </w:rPr>
        <w:t>Authored Works</w:t>
      </w:r>
    </w:p>
    <w:p w14:paraId="3263F6B5" w14:textId="77777777" w:rsidR="003C6F09" w:rsidRDefault="003C6F09" w:rsidP="003C6F09">
      <w:pPr>
        <w:pStyle w:val="BasicParagraph"/>
        <w:tabs>
          <w:tab w:val="left" w:pos="360"/>
        </w:tabs>
        <w:spacing w:line="240" w:lineRule="auto"/>
        <w:rPr>
          <w:rFonts w:asciiTheme="minorHAnsi" w:hAnsiTheme="minorHAnsi" w:cs="Garamond"/>
          <w:b/>
          <w:spacing w:val="-5"/>
        </w:rPr>
      </w:pPr>
      <w:r w:rsidRPr="3D197224">
        <w:rPr>
          <w:rFonts w:asciiTheme="minorHAnsi" w:hAnsiTheme="minorHAnsi" w:cs="Garamond"/>
          <w:b/>
          <w:bCs/>
          <w:spacing w:val="-5"/>
        </w:rPr>
        <w:t>Monographs</w:t>
      </w:r>
    </w:p>
    <w:p w14:paraId="3B7EA3A5" w14:textId="05D753A3" w:rsidR="003F7BBB" w:rsidRPr="003F7BBB" w:rsidRDefault="003F7BBB" w:rsidP="003C6F09">
      <w:pPr>
        <w:pStyle w:val="BasicParagraph"/>
        <w:spacing w:line="240" w:lineRule="auto"/>
        <w:ind w:left="720" w:hanging="720"/>
        <w:rPr>
          <w:rFonts w:asciiTheme="minorHAnsi" w:hAnsiTheme="minorHAnsi" w:cs="Garamond-Bold"/>
        </w:rPr>
      </w:pPr>
      <w:r>
        <w:rPr>
          <w:rFonts w:asciiTheme="minorHAnsi" w:hAnsiTheme="minorHAnsi" w:cs="Garamond-Bold"/>
          <w:i/>
          <w:iCs/>
        </w:rPr>
        <w:t>Therapy Yet to Come: A Cultural Manifesto for the Future of Mental Health</w:t>
      </w:r>
      <w:r>
        <w:rPr>
          <w:rFonts w:asciiTheme="minorHAnsi" w:hAnsiTheme="minorHAnsi" w:cs="Garamond-Bold"/>
        </w:rPr>
        <w:t xml:space="preserve"> (Forthcoming, Bloomsbury 2026)</w:t>
      </w:r>
    </w:p>
    <w:p w14:paraId="4CFB3B2E" w14:textId="73270884" w:rsidR="00B4302D" w:rsidRPr="00B4302D" w:rsidRDefault="00B4302D" w:rsidP="003C6F09">
      <w:pPr>
        <w:pStyle w:val="BasicParagraph"/>
        <w:spacing w:line="240" w:lineRule="auto"/>
        <w:ind w:left="720" w:hanging="720"/>
        <w:rPr>
          <w:rFonts w:asciiTheme="minorHAnsi" w:hAnsiTheme="minorHAnsi" w:cs="Garamond-Bold"/>
        </w:rPr>
      </w:pPr>
      <w:r>
        <w:rPr>
          <w:rFonts w:asciiTheme="minorHAnsi" w:hAnsiTheme="minorHAnsi" w:cs="Garamond-Bold"/>
          <w:i/>
          <w:iCs/>
        </w:rPr>
        <w:t xml:space="preserve">The Last Laugh: Grief, Death, and the Comic. </w:t>
      </w:r>
      <w:r>
        <w:rPr>
          <w:rFonts w:asciiTheme="minorHAnsi" w:hAnsiTheme="minorHAnsi" w:cs="Garamond-Bold"/>
        </w:rPr>
        <w:t>(Cambridge, England: Ethics Press, 2025).</w:t>
      </w:r>
    </w:p>
    <w:p w14:paraId="3FFC4BD4" w14:textId="44D225A6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-Bold"/>
          <w:i/>
          <w:iCs/>
        </w:rPr>
      </w:pPr>
      <w:r w:rsidRPr="3D197224">
        <w:rPr>
          <w:rFonts w:asciiTheme="minorHAnsi" w:hAnsiTheme="minorHAnsi" w:cs="Garamond-Bold"/>
        </w:rPr>
        <w:t xml:space="preserve">Co-authored with Matthew Goulish, </w:t>
      </w:r>
      <w:r w:rsidRPr="3D197224">
        <w:rPr>
          <w:rFonts w:asciiTheme="minorHAnsi" w:hAnsiTheme="minorHAnsi" w:cs="Garamond-Bold"/>
          <w:i/>
          <w:iCs/>
        </w:rPr>
        <w:t>Pitch and Revelation: Reconfigurations of poetry, philosophy, and reading through the work of Jay Wright</w:t>
      </w:r>
      <w:r w:rsidRPr="3D197224">
        <w:rPr>
          <w:rFonts w:asciiTheme="minorHAnsi" w:hAnsiTheme="minorHAnsi" w:cs="Garamond-Bold"/>
        </w:rPr>
        <w:t xml:space="preserve"> (</w:t>
      </w:r>
      <w:r>
        <w:rPr>
          <w:rFonts w:asciiTheme="minorHAnsi" w:hAnsiTheme="minorHAnsi" w:cs="Garamond-Bold"/>
        </w:rPr>
        <w:t xml:space="preserve">Earth, Milky way: </w:t>
      </w:r>
      <w:r w:rsidRPr="3D197224">
        <w:rPr>
          <w:rFonts w:asciiTheme="minorHAnsi" w:hAnsiTheme="minorHAnsi" w:cs="Garamond-Bold"/>
        </w:rPr>
        <w:t>3Ecologies/Punctum</w:t>
      </w:r>
      <w:r>
        <w:rPr>
          <w:rFonts w:asciiTheme="minorHAnsi" w:hAnsiTheme="minorHAnsi" w:cs="Garamond-Bold"/>
        </w:rPr>
        <w:t>, 2022</w:t>
      </w:r>
      <w:r w:rsidRPr="3D197224">
        <w:rPr>
          <w:rFonts w:asciiTheme="minorHAnsi" w:hAnsiTheme="minorHAnsi" w:cs="Garamond-Bold"/>
        </w:rPr>
        <w:t>)</w:t>
      </w:r>
      <w:r>
        <w:rPr>
          <w:rFonts w:asciiTheme="minorHAnsi" w:hAnsiTheme="minorHAnsi" w:cs="Garamond-Bold"/>
        </w:rPr>
        <w:t>.</w:t>
      </w:r>
    </w:p>
    <w:p w14:paraId="4CF5E832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-Bold"/>
          <w:bCs/>
        </w:rPr>
      </w:pPr>
      <w:r>
        <w:rPr>
          <w:rFonts w:asciiTheme="minorHAnsi" w:hAnsiTheme="minorHAnsi" w:cs="Garamond-Bold"/>
          <w:bCs/>
          <w:i/>
        </w:rPr>
        <w:t xml:space="preserve">Baroque, Venice, Theatre, Philosophy </w:t>
      </w:r>
      <w:r>
        <w:rPr>
          <w:rFonts w:asciiTheme="minorHAnsi" w:hAnsiTheme="minorHAnsi" w:cs="Garamond-Bold"/>
          <w:bCs/>
        </w:rPr>
        <w:t xml:space="preserve">(Palgrave/Springer, June 2017). </w:t>
      </w:r>
    </w:p>
    <w:p w14:paraId="10D99A63" w14:textId="77777777" w:rsidR="003C6F09" w:rsidRDefault="003C6F09" w:rsidP="003C6F09">
      <w:pPr>
        <w:pStyle w:val="BasicParagraph"/>
        <w:tabs>
          <w:tab w:val="left" w:pos="36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070481BD" w14:textId="77777777" w:rsidR="003C6F09" w:rsidRPr="00147584" w:rsidRDefault="003C6F09" w:rsidP="003C6F09">
      <w:pPr>
        <w:pStyle w:val="BasicParagraph"/>
        <w:tabs>
          <w:tab w:val="left" w:pos="360"/>
        </w:tabs>
        <w:spacing w:line="240" w:lineRule="auto"/>
        <w:rPr>
          <w:rFonts w:asciiTheme="minorHAnsi" w:hAnsiTheme="minorHAnsi" w:cs="Garamond"/>
          <w:b/>
          <w:spacing w:val="-5"/>
        </w:rPr>
      </w:pPr>
      <w:r w:rsidRPr="3D197224">
        <w:rPr>
          <w:rFonts w:asciiTheme="minorHAnsi" w:hAnsiTheme="minorHAnsi" w:cs="Garamond"/>
          <w:b/>
          <w:bCs/>
          <w:spacing w:val="-5"/>
        </w:rPr>
        <w:t>Peer-Reviewed Articles</w:t>
      </w:r>
    </w:p>
    <w:p w14:paraId="3E11E00E" w14:textId="79945B6E" w:rsidR="00B4302D" w:rsidRPr="00B4302D" w:rsidRDefault="00B4302D" w:rsidP="003C6F09">
      <w:pPr>
        <w:pStyle w:val="BasicParagraph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“Life is </w:t>
      </w:r>
      <w:r w:rsidRPr="003F7BBB">
        <w:rPr>
          <w:rFonts w:asciiTheme="minorHAnsi" w:hAnsiTheme="minorHAnsi" w:cs="Garamond"/>
          <w:i/>
          <w:iCs/>
        </w:rPr>
        <w:t xml:space="preserve">pain au </w:t>
      </w:r>
      <w:proofErr w:type="spellStart"/>
      <w:r w:rsidRPr="003F7BBB">
        <w:rPr>
          <w:rFonts w:asciiTheme="minorHAnsi" w:hAnsiTheme="minorHAnsi" w:cs="Garamond"/>
          <w:i/>
          <w:iCs/>
        </w:rPr>
        <w:t>chocolat</w:t>
      </w:r>
      <w:proofErr w:type="spellEnd"/>
      <w:r>
        <w:rPr>
          <w:rFonts w:asciiTheme="minorHAnsi" w:hAnsiTheme="minorHAnsi" w:cs="Garamond"/>
        </w:rPr>
        <w:t xml:space="preserve">.” </w:t>
      </w:r>
      <w:r>
        <w:rPr>
          <w:rFonts w:asciiTheme="minorHAnsi" w:hAnsiTheme="minorHAnsi" w:cs="Garamond"/>
          <w:i/>
          <w:iCs/>
        </w:rPr>
        <w:t>The Journal of Dance, Movement, and Spirituality</w:t>
      </w:r>
      <w:r>
        <w:rPr>
          <w:rFonts w:asciiTheme="minorHAnsi" w:hAnsiTheme="minorHAnsi" w:cs="Garamond"/>
        </w:rPr>
        <w:t>. (Forthcoming 2026).</w:t>
      </w:r>
    </w:p>
    <w:p w14:paraId="720A3ACE" w14:textId="3DE04D24" w:rsidR="00B4302D" w:rsidRPr="00B4302D" w:rsidRDefault="00B4302D" w:rsidP="00B4302D">
      <w:pPr>
        <w:pStyle w:val="BasicParagraph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Co-authored with </w:t>
      </w:r>
      <w:r w:rsidRPr="00B4302D">
        <w:rPr>
          <w:rFonts w:asciiTheme="minorHAnsi" w:hAnsiTheme="minorHAnsi" w:cs="Garamond"/>
        </w:rPr>
        <w:t xml:space="preserve">Laura Cull Ó </w:t>
      </w:r>
      <w:proofErr w:type="spellStart"/>
      <w:r w:rsidRPr="00B4302D">
        <w:rPr>
          <w:rFonts w:asciiTheme="minorHAnsi" w:hAnsiTheme="minorHAnsi" w:cs="Garamond"/>
        </w:rPr>
        <w:t>Maoilearca</w:t>
      </w:r>
      <w:proofErr w:type="spellEnd"/>
      <w:r>
        <w:rPr>
          <w:rFonts w:asciiTheme="minorHAnsi" w:hAnsiTheme="minorHAnsi" w:cs="Garamond"/>
        </w:rPr>
        <w:t xml:space="preserve"> and</w:t>
      </w:r>
      <w:r w:rsidRPr="00B4302D">
        <w:rPr>
          <w:rFonts w:asciiTheme="minorHAnsi" w:hAnsiTheme="minorHAnsi" w:cs="Garamond"/>
        </w:rPr>
        <w:t xml:space="preserve"> Rajni Shah</w:t>
      </w:r>
      <w:r>
        <w:rPr>
          <w:rFonts w:asciiTheme="minorHAnsi" w:hAnsiTheme="minorHAnsi" w:cs="Garamond"/>
        </w:rPr>
        <w:t>. “</w:t>
      </w:r>
      <w:r w:rsidRPr="00B4302D">
        <w:rPr>
          <w:rFonts w:asciiTheme="minorHAnsi" w:hAnsiTheme="minorHAnsi" w:cs="Garamond"/>
        </w:rPr>
        <w:t>With the Dead: Performance Philosophy, Dying, and Grief</w:t>
      </w:r>
      <w:r>
        <w:rPr>
          <w:rFonts w:asciiTheme="minorHAnsi" w:hAnsiTheme="minorHAnsi" w:cs="Garamond"/>
        </w:rPr>
        <w:t xml:space="preserve">: </w:t>
      </w:r>
      <w:r w:rsidRPr="00B4302D">
        <w:rPr>
          <w:rFonts w:asciiTheme="minorHAnsi" w:hAnsiTheme="minorHAnsi" w:cs="Garamond"/>
        </w:rPr>
        <w:t>An Introduction</w:t>
      </w:r>
      <w:r>
        <w:rPr>
          <w:rFonts w:asciiTheme="minorHAnsi" w:hAnsiTheme="minorHAnsi" w:cs="Garamond"/>
        </w:rPr>
        <w:t xml:space="preserve">.” </w:t>
      </w:r>
      <w:r>
        <w:rPr>
          <w:rFonts w:asciiTheme="minorHAnsi" w:hAnsiTheme="minorHAnsi" w:cs="Garamond"/>
          <w:i/>
          <w:iCs/>
        </w:rPr>
        <w:t>Performance Philosophy</w:t>
      </w:r>
      <w:r>
        <w:rPr>
          <w:rFonts w:asciiTheme="minorHAnsi" w:hAnsiTheme="minorHAnsi" w:cs="Garamond"/>
        </w:rPr>
        <w:t xml:space="preserve"> 9.2 (2024): 1–28. </w:t>
      </w:r>
      <w:r w:rsidRPr="00B4302D">
        <w:rPr>
          <w:rFonts w:asciiTheme="minorHAnsi" w:hAnsiTheme="minorHAnsi" w:cs="Garamond"/>
        </w:rPr>
        <w:t>https://doi.org/10.21476/PP.2024.92553</w:t>
      </w:r>
    </w:p>
    <w:p w14:paraId="52F1E4DC" w14:textId="0351B768" w:rsidR="003C6F09" w:rsidRPr="003C0732" w:rsidRDefault="003C6F09" w:rsidP="003C6F09">
      <w:pPr>
        <w:pStyle w:val="BasicParagraph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Co-authored with Joanne Zerdy. “Grief as Radically Social.” </w:t>
      </w:r>
      <w:r>
        <w:rPr>
          <w:rFonts w:asciiTheme="minorHAnsi" w:hAnsiTheme="minorHAnsi" w:cs="Garamond"/>
          <w:i/>
          <w:iCs/>
        </w:rPr>
        <w:t>Performance Philosophy</w:t>
      </w:r>
      <w:r>
        <w:rPr>
          <w:rFonts w:asciiTheme="minorHAnsi" w:hAnsiTheme="minorHAnsi" w:cs="Garamond"/>
        </w:rPr>
        <w:t xml:space="preserve"> 9.2 (2024)</w:t>
      </w:r>
      <w:r w:rsidR="00B4302D">
        <w:rPr>
          <w:rFonts w:asciiTheme="minorHAnsi" w:hAnsiTheme="minorHAnsi" w:cs="Garamond"/>
        </w:rPr>
        <w:t xml:space="preserve">: 32–46. </w:t>
      </w:r>
      <w:r w:rsidR="00B4302D" w:rsidRPr="00B4302D">
        <w:rPr>
          <w:rFonts w:asciiTheme="minorHAnsi" w:hAnsiTheme="minorHAnsi" w:cs="Garamond"/>
        </w:rPr>
        <w:t>https://doi.org/10.21476/PP.2024.92474</w:t>
      </w:r>
    </w:p>
    <w:p w14:paraId="24E5A46A" w14:textId="77777777" w:rsidR="003C6F09" w:rsidRPr="00D21F34" w:rsidRDefault="003C6F09" w:rsidP="003C6F09">
      <w:pPr>
        <w:pStyle w:val="BasicParagraph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“What Acceptance Is.” </w:t>
      </w:r>
      <w:r>
        <w:rPr>
          <w:rFonts w:asciiTheme="minorHAnsi" w:hAnsiTheme="minorHAnsi" w:cs="Garamond"/>
          <w:i/>
          <w:iCs/>
        </w:rPr>
        <w:t>Public Philosophy Journal</w:t>
      </w:r>
      <w:r>
        <w:rPr>
          <w:rFonts w:asciiTheme="minorHAnsi" w:hAnsiTheme="minorHAnsi" w:cs="Garamond"/>
        </w:rPr>
        <w:t xml:space="preserve"> 5.1 (2023): </w:t>
      </w:r>
      <w:proofErr w:type="spellStart"/>
      <w:r>
        <w:rPr>
          <w:rFonts w:asciiTheme="minorHAnsi" w:hAnsiTheme="minorHAnsi" w:cs="Garamond"/>
        </w:rPr>
        <w:t>n.p.</w:t>
      </w:r>
      <w:proofErr w:type="spellEnd"/>
      <w:r>
        <w:rPr>
          <w:rFonts w:asciiTheme="minorHAnsi" w:hAnsiTheme="minorHAnsi" w:cs="Garamond"/>
        </w:rPr>
        <w:t xml:space="preserve"> </w:t>
      </w:r>
      <w:r w:rsidRPr="00D21F34">
        <w:rPr>
          <w:rFonts w:asciiTheme="minorHAnsi" w:hAnsiTheme="minorHAnsi" w:cs="Garamond"/>
        </w:rPr>
        <w:t>https://doi.org/10.59522/OQWV8740</w:t>
      </w:r>
    </w:p>
    <w:p w14:paraId="18E13DD8" w14:textId="77777777" w:rsidR="003C6F09" w:rsidRPr="00CE69CB" w:rsidRDefault="003C6F09" w:rsidP="003C6F09">
      <w:pPr>
        <w:pStyle w:val="BasicParagraph"/>
        <w:ind w:left="720" w:hanging="720"/>
        <w:rPr>
          <w:rFonts w:asciiTheme="minorHAnsi" w:hAnsiTheme="minorHAnsi" w:cs="Garamond"/>
        </w:rPr>
      </w:pPr>
      <w:r w:rsidRPr="00CE69CB">
        <w:rPr>
          <w:rFonts w:asciiTheme="minorHAnsi" w:hAnsiTheme="minorHAnsi" w:cs="Garamond"/>
        </w:rPr>
        <w:t>“</w:t>
      </w:r>
      <w:r w:rsidRPr="00CE69CB">
        <w:rPr>
          <w:rFonts w:asciiTheme="minorHAnsi" w:hAnsiTheme="minorHAnsi" w:cs="Garamond"/>
          <w:i/>
          <w:iCs/>
        </w:rPr>
        <w:t>Lemma</w:t>
      </w:r>
      <w:r w:rsidRPr="00CE69CB">
        <w:rPr>
          <w:rFonts w:asciiTheme="minorHAnsi" w:hAnsiTheme="minorHAnsi" w:cs="Garamond"/>
        </w:rPr>
        <w:t xml:space="preserve">: Jay Wright’s idiorrhythmic American theatre.” </w:t>
      </w:r>
      <w:proofErr w:type="spellStart"/>
      <w:r w:rsidRPr="00CE69CB">
        <w:rPr>
          <w:rFonts w:asciiTheme="minorHAnsi" w:hAnsiTheme="minorHAnsi" w:cs="Garamond"/>
          <w:i/>
          <w:iCs/>
        </w:rPr>
        <w:t>Pamietnik</w:t>
      </w:r>
      <w:proofErr w:type="spellEnd"/>
      <w:r w:rsidRPr="00CE69CB">
        <w:rPr>
          <w:rFonts w:asciiTheme="minorHAnsi" w:hAnsiTheme="minorHAnsi" w:cs="Garamond"/>
          <w:i/>
          <w:iCs/>
        </w:rPr>
        <w:t xml:space="preserve"> </w:t>
      </w:r>
      <w:proofErr w:type="spellStart"/>
      <w:r w:rsidRPr="00CE69CB">
        <w:rPr>
          <w:rFonts w:asciiTheme="minorHAnsi" w:hAnsiTheme="minorHAnsi" w:cs="Garamond"/>
          <w:i/>
          <w:iCs/>
        </w:rPr>
        <w:t>Teatralny</w:t>
      </w:r>
      <w:proofErr w:type="spellEnd"/>
      <w:r w:rsidRPr="00CE69CB">
        <w:rPr>
          <w:rFonts w:asciiTheme="minorHAnsi" w:hAnsiTheme="minorHAnsi" w:cs="Garamond"/>
        </w:rPr>
        <w:t xml:space="preserve"> [Polish Theatre Journal] 70:4 (2021): 121–140.</w:t>
      </w:r>
    </w:p>
    <w:p w14:paraId="140E37F3" w14:textId="77777777" w:rsidR="003C6F09" w:rsidRPr="00CE69CB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</w:rPr>
      </w:pPr>
      <w:r w:rsidRPr="00CE69CB">
        <w:rPr>
          <w:rFonts w:asciiTheme="minorHAnsi" w:hAnsiTheme="minorHAnsi" w:cs="Garamond"/>
        </w:rPr>
        <w:t xml:space="preserve">“Eulogy for Mary Overlie.” </w:t>
      </w:r>
      <w:r w:rsidRPr="00CE69CB">
        <w:rPr>
          <w:rFonts w:asciiTheme="minorHAnsi" w:hAnsiTheme="minorHAnsi" w:cs="Garamond"/>
          <w:i/>
          <w:iCs/>
        </w:rPr>
        <w:t>PAJ</w:t>
      </w:r>
      <w:r w:rsidRPr="00CE69CB">
        <w:rPr>
          <w:rFonts w:asciiTheme="minorHAnsi" w:hAnsiTheme="minorHAnsi" w:cs="Garamond"/>
        </w:rPr>
        <w:t xml:space="preserve"> 42:3 (September 2020): 50–54.</w:t>
      </w:r>
    </w:p>
    <w:p w14:paraId="00852CC3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“The Open Field of Performance Philosophy.” </w:t>
      </w:r>
      <w:r w:rsidRPr="00CE69CB">
        <w:rPr>
          <w:rFonts w:asciiTheme="minorHAnsi" w:hAnsiTheme="minorHAnsi" w:cs="Garamond"/>
          <w:i/>
          <w:iCs/>
          <w:spacing w:val="-5"/>
        </w:rPr>
        <w:t xml:space="preserve">Performance Philosophy </w:t>
      </w:r>
      <w:r w:rsidRPr="00CE69CB">
        <w:rPr>
          <w:rFonts w:asciiTheme="minorHAnsi" w:hAnsiTheme="minorHAnsi" w:cs="Garamond"/>
          <w:spacing w:val="-5"/>
        </w:rPr>
        <w:t xml:space="preserve">4:2 (2019): 325–331. </w:t>
      </w:r>
      <w:r w:rsidRPr="00CE69CB">
        <w:rPr>
          <w:rFonts w:asciiTheme="minorHAnsi" w:hAnsiTheme="minorHAnsi" w:cs="Garamond"/>
        </w:rPr>
        <w:t>https://doi.org/10.21476/PP.2019.42250</w:t>
      </w:r>
      <w:r w:rsidRPr="00CE69CB">
        <w:rPr>
          <w:rFonts w:asciiTheme="minorHAnsi" w:hAnsiTheme="minorHAnsi" w:cs="Garamond"/>
          <w:bCs/>
          <w:spacing w:val="-5"/>
        </w:rPr>
        <w:tab/>
      </w:r>
    </w:p>
    <w:p w14:paraId="1012F342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bCs/>
          <w:spacing w:val="-5"/>
        </w:rPr>
      </w:pPr>
      <w:r w:rsidRPr="00CE69CB">
        <w:rPr>
          <w:rFonts w:asciiTheme="minorHAnsi" w:hAnsiTheme="minorHAnsi" w:cs="Garamond"/>
          <w:bCs/>
          <w:spacing w:val="-5"/>
        </w:rPr>
        <w:t xml:space="preserve">“On Philosophy and Participation.” </w:t>
      </w:r>
      <w:r w:rsidRPr="00CE69CB">
        <w:rPr>
          <w:rFonts w:asciiTheme="minorHAnsi" w:hAnsiTheme="minorHAnsi" w:cs="Garamond"/>
          <w:bCs/>
          <w:i/>
          <w:iCs/>
          <w:spacing w:val="-5"/>
        </w:rPr>
        <w:t>Performance Research</w:t>
      </w:r>
      <w:r w:rsidRPr="00CE69CB">
        <w:rPr>
          <w:rFonts w:asciiTheme="minorHAnsi" w:hAnsiTheme="minorHAnsi" w:cs="Garamond"/>
          <w:bCs/>
          <w:spacing w:val="-5"/>
        </w:rPr>
        <w:t xml:space="preserve"> 23:4–5 (2019): 208–209. https://doi.org/10.1080/13528165.2018.1506538</w:t>
      </w:r>
    </w:p>
    <w:p w14:paraId="420AEA38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bCs/>
          <w:spacing w:val="-5"/>
        </w:rPr>
      </w:pPr>
      <w:r w:rsidRPr="00CE69CB">
        <w:rPr>
          <w:rFonts w:asciiTheme="minorHAnsi" w:hAnsiTheme="minorHAnsi" w:cs="Garamond"/>
          <w:bCs/>
          <w:spacing w:val="-5"/>
        </w:rPr>
        <w:t xml:space="preserve">Co-authored with Theron Schmidt. “Crisis and the </w:t>
      </w:r>
      <w:proofErr w:type="spellStart"/>
      <w:r w:rsidRPr="00CE69CB">
        <w:rPr>
          <w:rFonts w:asciiTheme="minorHAnsi" w:hAnsiTheme="minorHAnsi" w:cs="Garamond"/>
          <w:bCs/>
          <w:spacing w:val="-5"/>
        </w:rPr>
        <w:t>Im</w:t>
      </w:r>
      <w:proofErr w:type="spellEnd"/>
      <w:r w:rsidRPr="00CE69CB">
        <w:rPr>
          <w:rFonts w:asciiTheme="minorHAnsi" w:hAnsiTheme="minorHAnsi" w:cs="Garamond"/>
          <w:bCs/>
          <w:spacing w:val="-5"/>
        </w:rPr>
        <w:t xml:space="preserve">/Possibility of Thought.” </w:t>
      </w:r>
      <w:proofErr w:type="spellStart"/>
      <w:r w:rsidRPr="00CE69CB">
        <w:rPr>
          <w:rFonts w:asciiTheme="minorHAnsi" w:hAnsiTheme="minorHAnsi" w:cs="Garamond"/>
          <w:bCs/>
          <w:i/>
          <w:iCs/>
          <w:spacing w:val="-5"/>
        </w:rPr>
        <w:t>Krisis</w:t>
      </w:r>
      <w:proofErr w:type="spellEnd"/>
      <w:r w:rsidRPr="00CE69CB">
        <w:rPr>
          <w:rFonts w:asciiTheme="minorHAnsi" w:hAnsiTheme="minorHAnsi" w:cs="Garamond"/>
          <w:bCs/>
          <w:spacing w:val="-5"/>
        </w:rPr>
        <w:t xml:space="preserve">/Crisis. </w:t>
      </w:r>
      <w:r w:rsidRPr="00CE69CB">
        <w:rPr>
          <w:rFonts w:asciiTheme="minorHAnsi" w:hAnsiTheme="minorHAnsi" w:cs="Garamond"/>
          <w:bCs/>
          <w:spacing w:val="-5"/>
        </w:rPr>
        <w:lastRenderedPageBreak/>
        <w:t xml:space="preserve">Spec. issue of </w:t>
      </w:r>
      <w:r w:rsidRPr="00CE69CB">
        <w:rPr>
          <w:rFonts w:asciiTheme="minorHAnsi" w:hAnsiTheme="minorHAnsi" w:cs="Garamond"/>
          <w:bCs/>
          <w:i/>
          <w:iCs/>
          <w:spacing w:val="-5"/>
        </w:rPr>
        <w:t>Performance Philosophy</w:t>
      </w:r>
      <w:r w:rsidRPr="00CE69CB">
        <w:rPr>
          <w:rFonts w:asciiTheme="minorHAnsi" w:hAnsiTheme="minorHAnsi" w:cs="Garamond"/>
          <w:bCs/>
          <w:spacing w:val="-5"/>
        </w:rPr>
        <w:t xml:space="preserve"> 4:1 (2018): 1–8. https://doi.org/10.21476/PP.2018.41225</w:t>
      </w:r>
      <w:r w:rsidRPr="00CE69CB">
        <w:rPr>
          <w:rFonts w:asciiTheme="minorHAnsi" w:hAnsiTheme="minorHAnsi" w:cs="Garamond"/>
          <w:bCs/>
          <w:spacing w:val="-5"/>
        </w:rPr>
        <w:tab/>
      </w:r>
    </w:p>
    <w:p w14:paraId="37C83103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bCs/>
          <w:spacing w:val="-5"/>
        </w:rPr>
      </w:pPr>
      <w:r w:rsidRPr="00CE69CB">
        <w:rPr>
          <w:rFonts w:asciiTheme="minorHAnsi" w:hAnsiTheme="minorHAnsi" w:cs="Garamond"/>
          <w:bCs/>
          <w:spacing w:val="-5"/>
        </w:rPr>
        <w:t xml:space="preserve">Collaboratively authored with Milton Loayza, Yana Meerzon, Tero Nauha, Aneta Stojnić, Janhavi Dhamankar, Jon McKenzie, and Theron Schmidt. “What is Refugee?” </w:t>
      </w:r>
      <w:proofErr w:type="spellStart"/>
      <w:r w:rsidRPr="00CE69CB">
        <w:rPr>
          <w:rFonts w:asciiTheme="minorHAnsi" w:hAnsiTheme="minorHAnsi" w:cs="Garamond"/>
          <w:bCs/>
          <w:i/>
          <w:iCs/>
          <w:spacing w:val="-5"/>
        </w:rPr>
        <w:t>Krisis</w:t>
      </w:r>
      <w:proofErr w:type="spellEnd"/>
      <w:r w:rsidRPr="00CE69CB">
        <w:rPr>
          <w:rFonts w:asciiTheme="minorHAnsi" w:hAnsiTheme="minorHAnsi" w:cs="Garamond"/>
          <w:bCs/>
          <w:spacing w:val="-5"/>
        </w:rPr>
        <w:t xml:space="preserve">/Crisis. Spec. issue of </w:t>
      </w:r>
      <w:r w:rsidRPr="00CE69CB">
        <w:rPr>
          <w:rFonts w:asciiTheme="minorHAnsi" w:hAnsiTheme="minorHAnsi" w:cs="Garamond"/>
          <w:bCs/>
          <w:i/>
          <w:iCs/>
          <w:spacing w:val="-5"/>
        </w:rPr>
        <w:t>Performance Philosophy</w:t>
      </w:r>
      <w:r w:rsidRPr="00CE69CB">
        <w:rPr>
          <w:rFonts w:asciiTheme="minorHAnsi" w:hAnsiTheme="minorHAnsi" w:cs="Garamond"/>
          <w:bCs/>
          <w:spacing w:val="-5"/>
        </w:rPr>
        <w:t xml:space="preserve"> 4:1 (2018): 206–233. https://doi.org/10.21476/PP.2018.41198</w:t>
      </w:r>
      <w:r w:rsidRPr="00CE69CB">
        <w:rPr>
          <w:rFonts w:asciiTheme="minorHAnsi" w:hAnsiTheme="minorHAnsi" w:cs="Garamond"/>
          <w:bCs/>
          <w:spacing w:val="-5"/>
        </w:rPr>
        <w:tab/>
      </w:r>
    </w:p>
    <w:p w14:paraId="160D06FA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bCs/>
          <w:spacing w:val="-5"/>
        </w:rPr>
      </w:pPr>
      <w:r w:rsidRPr="00CE69CB">
        <w:rPr>
          <w:rFonts w:asciiTheme="minorHAnsi" w:hAnsiTheme="minorHAnsi" w:cs="Garamond"/>
          <w:bCs/>
          <w:spacing w:val="-5"/>
        </w:rPr>
        <w:t xml:space="preserve">“‘Concentrated, polysemous, literary act’: Every house has a door reads Jay Wright.” </w:t>
      </w:r>
      <w:r w:rsidRPr="00CE69CB">
        <w:rPr>
          <w:rFonts w:asciiTheme="minorHAnsi" w:hAnsiTheme="minorHAnsi" w:cs="Garamond"/>
          <w:bCs/>
          <w:i/>
          <w:spacing w:val="-5"/>
        </w:rPr>
        <w:t>Contemporary Theatre Review</w:t>
      </w:r>
      <w:r w:rsidRPr="00CE69CB">
        <w:rPr>
          <w:rFonts w:asciiTheme="minorHAnsi" w:hAnsiTheme="minorHAnsi" w:cs="Garamond"/>
          <w:bCs/>
          <w:spacing w:val="-5"/>
        </w:rPr>
        <w:t xml:space="preserve"> 28:2 (2018): 179–195. https://doi.org/10.1080/10486801.2018.1440552</w:t>
      </w:r>
    </w:p>
    <w:p w14:paraId="0CD151DB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“Adorno’s Etudes: Excessive Exactitude and ‘Having </w:t>
      </w:r>
      <w:r w:rsidRPr="00CE69CB">
        <w:rPr>
          <w:rFonts w:asciiTheme="minorHAnsi" w:hAnsiTheme="minorHAnsi" w:cs="Garamond"/>
          <w:i/>
          <w:spacing w:val="-5"/>
        </w:rPr>
        <w:t>Crossed.</w:t>
      </w:r>
      <w:r w:rsidRPr="00CE69CB">
        <w:rPr>
          <w:rFonts w:asciiTheme="minorHAnsi" w:hAnsiTheme="minorHAnsi" w:cs="Garamond"/>
          <w:spacing w:val="-5"/>
        </w:rPr>
        <w:t>’”</w:t>
      </w:r>
      <w:r w:rsidRPr="00CE69CB">
        <w:rPr>
          <w:rFonts w:asciiTheme="minorHAnsi" w:hAnsiTheme="minorHAnsi" w:cs="Garamond"/>
          <w:i/>
          <w:spacing w:val="-5"/>
        </w:rPr>
        <w:t xml:space="preserve"> Adorno’s Cultural Praxis: A Current Perspective</w:t>
      </w:r>
      <w:r w:rsidRPr="00CE69CB">
        <w:rPr>
          <w:rFonts w:asciiTheme="minorHAnsi" w:hAnsiTheme="minorHAnsi" w:cs="Garamond"/>
          <w:spacing w:val="-5"/>
        </w:rPr>
        <w:t xml:space="preserve">. Spec. Issue of </w:t>
      </w:r>
      <w:r w:rsidRPr="00CE69CB">
        <w:rPr>
          <w:rFonts w:asciiTheme="minorHAnsi" w:hAnsiTheme="minorHAnsi" w:cs="Garamond"/>
          <w:i/>
          <w:spacing w:val="-5"/>
        </w:rPr>
        <w:t>The European Legacy</w:t>
      </w:r>
      <w:r w:rsidRPr="00CE69CB">
        <w:rPr>
          <w:rFonts w:asciiTheme="minorHAnsi" w:hAnsiTheme="minorHAnsi" w:cs="Garamond"/>
          <w:spacing w:val="-5"/>
        </w:rPr>
        <w:t xml:space="preserve"> 21:7 (Fall 2016): 705–720.  https://doi.org/10.1080/10848770.2016.1216637</w:t>
      </w:r>
    </w:p>
    <w:p w14:paraId="553DF867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Co-authored with Ioana </w:t>
      </w:r>
      <w:proofErr w:type="spellStart"/>
      <w:r w:rsidRPr="00CE69CB">
        <w:rPr>
          <w:rFonts w:asciiTheme="minorHAnsi" w:hAnsiTheme="minorHAnsi" w:cs="Garamond"/>
          <w:spacing w:val="-5"/>
        </w:rPr>
        <w:t>Jucan</w:t>
      </w:r>
      <w:proofErr w:type="spellEnd"/>
      <w:r w:rsidRPr="00CE69CB">
        <w:rPr>
          <w:rFonts w:asciiTheme="minorHAnsi" w:hAnsiTheme="minorHAnsi" w:cs="Garamond"/>
          <w:spacing w:val="-5"/>
        </w:rPr>
        <w:t xml:space="preserve">. “On Doing Performance Philosophy.” Translated into Chinese for Yu Jiancun and the Shanghai University of the Arts Journal </w:t>
      </w:r>
      <w:r w:rsidRPr="00CE69CB">
        <w:rPr>
          <w:rFonts w:asciiTheme="minorHAnsi" w:hAnsiTheme="minorHAnsi" w:cs="Garamond"/>
          <w:i/>
          <w:spacing w:val="-5"/>
        </w:rPr>
        <w:t xml:space="preserve">Theatre Arts </w:t>
      </w:r>
      <w:r w:rsidRPr="00CE69CB">
        <w:rPr>
          <w:rFonts w:asciiTheme="minorHAnsi" w:hAnsiTheme="minorHAnsi" w:cs="Garamond"/>
          <w:spacing w:val="-5"/>
        </w:rPr>
        <w:t xml:space="preserve">as </w:t>
      </w:r>
      <w:proofErr w:type="spellStart"/>
      <w:r w:rsidRPr="00CE69CB">
        <w:rPr>
          <w:rFonts w:ascii="MS Mincho" w:eastAsia="MS Mincho" w:hAnsi="MS Mincho" w:cs="MS Mincho" w:hint="eastAsia"/>
          <w:spacing w:val="-5"/>
        </w:rPr>
        <w:t>表演哲学</w:t>
      </w:r>
      <w:proofErr w:type="spellEnd"/>
      <w:r w:rsidRPr="00CE69CB">
        <w:rPr>
          <w:rFonts w:asciiTheme="minorHAnsi" w:hAnsiTheme="minorHAnsi" w:cs="Garamond"/>
          <w:spacing w:val="-5"/>
        </w:rPr>
        <w:t xml:space="preserve">.  Also published in English by Yu in the French journal </w:t>
      </w:r>
      <w:r w:rsidRPr="00CE69CB">
        <w:rPr>
          <w:rFonts w:asciiTheme="minorHAnsi" w:hAnsiTheme="minorHAnsi" w:cs="Garamond"/>
          <w:i/>
          <w:spacing w:val="-5"/>
        </w:rPr>
        <w:t>Confluent</w:t>
      </w:r>
      <w:r w:rsidRPr="00CE69CB">
        <w:rPr>
          <w:rFonts w:asciiTheme="minorHAnsi" w:hAnsiTheme="minorHAnsi" w:cs="Garamond"/>
          <w:spacing w:val="-5"/>
        </w:rPr>
        <w:t xml:space="preserve"> 9 (October 2014): 1–12.</w:t>
      </w:r>
    </w:p>
    <w:p w14:paraId="456F69F3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"To Grieve." </w:t>
      </w:r>
      <w:r w:rsidRPr="00CE69CB">
        <w:rPr>
          <w:rFonts w:asciiTheme="minorHAnsi" w:hAnsiTheme="minorHAnsi" w:cs="Garamond"/>
          <w:i/>
          <w:spacing w:val="-5"/>
        </w:rPr>
        <w:t>Performance Philosophy</w:t>
      </w:r>
      <w:r w:rsidRPr="00CE69CB">
        <w:rPr>
          <w:rFonts w:asciiTheme="minorHAnsi" w:hAnsiTheme="minorHAnsi" w:cs="Garamond"/>
          <w:spacing w:val="-5"/>
        </w:rPr>
        <w:t xml:space="preserve"> 1 (2015): 265–281. https://doi.org/10.21476/PP.2015.1110</w:t>
      </w:r>
      <w:r w:rsidRPr="00CE69CB">
        <w:rPr>
          <w:rFonts w:asciiTheme="minorHAnsi" w:hAnsiTheme="minorHAnsi" w:cs="Garamond"/>
          <w:spacing w:val="-5"/>
        </w:rPr>
        <w:tab/>
      </w:r>
    </w:p>
    <w:p w14:paraId="5E4063A5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“Doing life is that which we must think.” </w:t>
      </w:r>
      <w:r w:rsidRPr="00CE69CB">
        <w:rPr>
          <w:rFonts w:asciiTheme="minorHAnsi" w:hAnsiTheme="minorHAnsi" w:cs="Garamond"/>
          <w:i/>
          <w:spacing w:val="-5"/>
        </w:rPr>
        <w:t>Performance Philosophy</w:t>
      </w:r>
      <w:r w:rsidRPr="00CE69CB">
        <w:rPr>
          <w:rFonts w:asciiTheme="minorHAnsi" w:hAnsiTheme="minorHAnsi" w:cs="Garamond"/>
          <w:spacing w:val="-5"/>
        </w:rPr>
        <w:t xml:space="preserve"> 1 (2015): 168–174. https://doi.org/10.21476/PP.2015.1118</w:t>
      </w:r>
      <w:r w:rsidRPr="00CE69CB">
        <w:rPr>
          <w:rFonts w:asciiTheme="minorHAnsi" w:hAnsiTheme="minorHAnsi" w:cs="Garamond"/>
          <w:spacing w:val="-5"/>
        </w:rPr>
        <w:tab/>
      </w:r>
    </w:p>
    <w:p w14:paraId="673B9F02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Co-authored with Joanne Zerdy. “Bootleg Education: </w:t>
      </w:r>
      <w:proofErr w:type="spellStart"/>
      <w:r w:rsidRPr="00CE69CB">
        <w:rPr>
          <w:rFonts w:asciiTheme="minorHAnsi" w:hAnsiTheme="minorHAnsi" w:cs="Garamond"/>
          <w:spacing w:val="-5"/>
        </w:rPr>
        <w:t>Parapedagogical</w:t>
      </w:r>
      <w:proofErr w:type="spellEnd"/>
      <w:r w:rsidRPr="00CE69CB">
        <w:rPr>
          <w:rFonts w:asciiTheme="minorHAnsi" w:hAnsiTheme="minorHAnsi" w:cs="Garamond"/>
          <w:spacing w:val="-5"/>
        </w:rPr>
        <w:t xml:space="preserve"> Experimentation Outside the University Setting.” </w:t>
      </w:r>
      <w:r w:rsidRPr="00CE69CB">
        <w:rPr>
          <w:rFonts w:asciiTheme="minorHAnsi" w:hAnsiTheme="minorHAnsi" w:cs="Garamond"/>
          <w:i/>
          <w:spacing w:val="-5"/>
        </w:rPr>
        <w:t>Theatre Topics</w:t>
      </w:r>
      <w:r w:rsidRPr="00CE69CB">
        <w:rPr>
          <w:rFonts w:asciiTheme="minorHAnsi" w:hAnsiTheme="minorHAnsi" w:cs="Garamond"/>
          <w:spacing w:val="-5"/>
        </w:rPr>
        <w:t xml:space="preserve"> 25:1 (March 2015): 77–87. https://doi.org/10.1353/tt.2015.0008</w:t>
      </w:r>
    </w:p>
    <w:p w14:paraId="75500968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Co-authored with Wade Hollingshaus. “Performance Philosophy: Arrived Just in Time?” </w:t>
      </w:r>
      <w:r w:rsidRPr="00CE69CB">
        <w:rPr>
          <w:rFonts w:asciiTheme="minorHAnsi" w:hAnsiTheme="minorHAnsi" w:cs="Garamond"/>
          <w:i/>
          <w:spacing w:val="-5"/>
        </w:rPr>
        <w:t>Theatre Topics</w:t>
      </w:r>
      <w:r w:rsidRPr="00CE69CB">
        <w:rPr>
          <w:rFonts w:asciiTheme="minorHAnsi" w:hAnsiTheme="minorHAnsi" w:cs="Garamond"/>
          <w:spacing w:val="-5"/>
        </w:rPr>
        <w:t xml:space="preserve"> 25:1 (March 2015): 51–56. https://doi.org/</w:t>
      </w:r>
      <w:r w:rsidRPr="00CE69CB">
        <w:t xml:space="preserve"> </w:t>
      </w:r>
      <w:r w:rsidRPr="00CE69CB">
        <w:rPr>
          <w:rFonts w:asciiTheme="minorHAnsi" w:hAnsiTheme="minorHAnsi" w:cs="Garamond"/>
          <w:spacing w:val="-5"/>
        </w:rPr>
        <w:t>10.1353/tt.2015.0002</w:t>
      </w:r>
    </w:p>
    <w:p w14:paraId="1A85DA63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Co-authored with Wade Hollingshaus. “Emancipating Dramaturgy: From Pedagogy to Psychagogy.” </w:t>
      </w:r>
      <w:r w:rsidRPr="00CE69CB">
        <w:rPr>
          <w:rFonts w:asciiTheme="minorHAnsi" w:hAnsiTheme="minorHAnsi" w:cs="Garamond"/>
          <w:i/>
          <w:spacing w:val="-5"/>
        </w:rPr>
        <w:t>Review: The Journal of Dramaturgy</w:t>
      </w:r>
      <w:r w:rsidRPr="00CE69CB">
        <w:rPr>
          <w:rFonts w:asciiTheme="minorHAnsi" w:hAnsiTheme="minorHAnsi" w:cs="Garamond"/>
          <w:spacing w:val="-5"/>
        </w:rPr>
        <w:t xml:space="preserve"> 23:1 (Spring 2013): 10–19. </w:t>
      </w:r>
    </w:p>
    <w:p w14:paraId="1C17C855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>Co-authored with Megan Lewis. “</w:t>
      </w:r>
      <w:proofErr w:type="spellStart"/>
      <w:r w:rsidRPr="00CE69CB">
        <w:rPr>
          <w:rFonts w:asciiTheme="minorHAnsi" w:hAnsiTheme="minorHAnsi" w:cs="Garamond"/>
          <w:spacing w:val="-5"/>
        </w:rPr>
        <w:t>Hyperthinking</w:t>
      </w:r>
      <w:proofErr w:type="spellEnd"/>
      <w:r w:rsidRPr="00CE69CB">
        <w:rPr>
          <w:rFonts w:asciiTheme="minorHAnsi" w:hAnsiTheme="minorHAnsi" w:cs="Garamond"/>
          <w:spacing w:val="-5"/>
        </w:rPr>
        <w:t xml:space="preserve"> through Theatre History: Haiti, Hotel California, </w:t>
      </w:r>
      <w:r w:rsidRPr="00CE69CB">
        <w:rPr>
          <w:rFonts w:asciiTheme="minorHAnsi" w:hAnsiTheme="minorHAnsi" w:cs="Garamond"/>
          <w:i/>
          <w:spacing w:val="-5"/>
        </w:rPr>
        <w:t>Woyzeck</w:t>
      </w:r>
      <w:r w:rsidRPr="00CE69CB">
        <w:rPr>
          <w:rFonts w:asciiTheme="minorHAnsi" w:hAnsiTheme="minorHAnsi" w:cs="Garamond"/>
          <w:spacing w:val="-5"/>
        </w:rPr>
        <w:t xml:space="preserve">, Hegel and Back Again.” </w:t>
      </w:r>
      <w:r w:rsidRPr="00CE69CB">
        <w:rPr>
          <w:rFonts w:asciiTheme="minorHAnsi" w:hAnsiTheme="minorHAnsi" w:cs="Garamond-Italic"/>
          <w:i/>
          <w:iCs/>
          <w:spacing w:val="-5"/>
        </w:rPr>
        <w:t>Theatre Topics</w:t>
      </w:r>
      <w:r w:rsidRPr="00CE69CB">
        <w:rPr>
          <w:rFonts w:asciiTheme="minorHAnsi" w:hAnsiTheme="minorHAnsi" w:cs="Garamond"/>
          <w:spacing w:val="-5"/>
        </w:rPr>
        <w:t xml:space="preserve"> 22:2 (September 2012): 183–194. https://doi.org/10.1353/tt.2012.0020</w:t>
      </w:r>
    </w:p>
    <w:p w14:paraId="576D197A" w14:textId="77777777" w:rsidR="003C6F09" w:rsidRPr="00CE69CB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“From Pseudo-Activity to Critique: Adorno, Philosophy, Participation.” </w:t>
      </w:r>
      <w:r w:rsidRPr="00CE69CB">
        <w:rPr>
          <w:rFonts w:asciiTheme="minorHAnsi" w:hAnsiTheme="minorHAnsi" w:cs="Garamond"/>
          <w:i/>
          <w:spacing w:val="-5"/>
        </w:rPr>
        <w:t>On Philosophy and Participation</w:t>
      </w:r>
      <w:r w:rsidRPr="00CE69CB">
        <w:rPr>
          <w:rFonts w:asciiTheme="minorHAnsi" w:hAnsiTheme="minorHAnsi" w:cs="Garamond"/>
          <w:spacing w:val="-5"/>
        </w:rPr>
        <w:t>.</w:t>
      </w:r>
      <w:r w:rsidRPr="00CE69CB">
        <w:rPr>
          <w:rFonts w:asciiTheme="minorHAnsi" w:hAnsiTheme="minorHAnsi" w:cs="Garamond"/>
          <w:i/>
          <w:spacing w:val="-5"/>
        </w:rPr>
        <w:t xml:space="preserve"> </w:t>
      </w:r>
      <w:r w:rsidRPr="00CE69CB">
        <w:rPr>
          <w:rFonts w:asciiTheme="minorHAnsi" w:hAnsiTheme="minorHAnsi" w:cs="Garamond"/>
          <w:spacing w:val="-5"/>
        </w:rPr>
        <w:t xml:space="preserve">Spec. issue of </w:t>
      </w:r>
      <w:r w:rsidRPr="00CE69CB">
        <w:rPr>
          <w:rFonts w:asciiTheme="minorHAnsi" w:hAnsiTheme="minorHAnsi" w:cs="Garamond"/>
          <w:i/>
          <w:spacing w:val="-5"/>
        </w:rPr>
        <w:t>Performance Research</w:t>
      </w:r>
      <w:r w:rsidRPr="00CE69CB">
        <w:rPr>
          <w:rFonts w:asciiTheme="minorHAnsi" w:hAnsiTheme="minorHAnsi" w:cs="Garamond"/>
          <w:spacing w:val="-5"/>
        </w:rPr>
        <w:t xml:space="preserve"> 16:4 (December 2011): 124–135. https://doi.org/10.1080/13528165.2011.606059</w:t>
      </w:r>
    </w:p>
    <w:p w14:paraId="0F774ACB" w14:textId="77777777" w:rsidR="003C6F09" w:rsidRPr="00CE69CB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“A Public of One: Baroque Jesuit Discipline in the Theatre of the World.” </w:t>
      </w:r>
      <w:r w:rsidRPr="00CE69CB">
        <w:rPr>
          <w:rFonts w:asciiTheme="minorHAnsi" w:hAnsiTheme="minorHAnsi" w:cs="Garamond"/>
          <w:i/>
          <w:spacing w:val="-5"/>
        </w:rPr>
        <w:t>The Great Stage of the World: Roman Catholic Life and Performance</w:t>
      </w:r>
      <w:r w:rsidRPr="00CE69CB">
        <w:rPr>
          <w:rFonts w:asciiTheme="minorHAnsi" w:hAnsiTheme="minorHAnsi" w:cs="Garamond"/>
          <w:spacing w:val="-5"/>
        </w:rPr>
        <w:t xml:space="preserve">. Spec. issue of </w:t>
      </w:r>
      <w:proofErr w:type="spellStart"/>
      <w:r w:rsidRPr="00CE69CB">
        <w:rPr>
          <w:rFonts w:asciiTheme="minorHAnsi" w:hAnsiTheme="minorHAnsi" w:cs="Garamond"/>
          <w:i/>
          <w:spacing w:val="-5"/>
        </w:rPr>
        <w:t>Ecumenica</w:t>
      </w:r>
      <w:proofErr w:type="spellEnd"/>
      <w:r w:rsidRPr="00CE69CB">
        <w:rPr>
          <w:rFonts w:asciiTheme="minorHAnsi" w:hAnsiTheme="minorHAnsi" w:cs="Garamond"/>
          <w:i/>
          <w:spacing w:val="-5"/>
        </w:rPr>
        <w:t>: A Journal of Theatre and Performance</w:t>
      </w:r>
      <w:r w:rsidRPr="00CE69CB">
        <w:rPr>
          <w:rFonts w:asciiTheme="minorHAnsi" w:hAnsiTheme="minorHAnsi" w:cs="Garamond"/>
          <w:spacing w:val="-5"/>
        </w:rPr>
        <w:t xml:space="preserve"> 4:1 (Spring 2011): 13–26. </w:t>
      </w:r>
    </w:p>
    <w:p w14:paraId="6E7D0FAE" w14:textId="77777777" w:rsidR="003C6F09" w:rsidRPr="00CE69CB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CE69CB">
        <w:rPr>
          <w:rFonts w:asciiTheme="minorHAnsi" w:hAnsiTheme="minorHAnsi" w:cs="Garamond"/>
          <w:spacing w:val="-5"/>
        </w:rPr>
        <w:t xml:space="preserve">“Parable to Paradigm to Ideology: Thinking Through (the Jesuit) Theatre.” </w:t>
      </w:r>
      <w:r w:rsidRPr="00CE69CB">
        <w:rPr>
          <w:rFonts w:asciiTheme="minorHAnsi" w:hAnsiTheme="minorHAnsi" w:cs="Garamond-Italic"/>
          <w:i/>
          <w:iCs/>
          <w:spacing w:val="-5"/>
        </w:rPr>
        <w:t>Journal of Dramatic Theory and Criticism</w:t>
      </w:r>
      <w:r w:rsidRPr="00CE69CB">
        <w:rPr>
          <w:rFonts w:asciiTheme="minorHAnsi" w:hAnsiTheme="minorHAnsi" w:cs="Garamond"/>
          <w:spacing w:val="-5"/>
        </w:rPr>
        <w:t xml:space="preserve"> 25:1 (Fall 2010): 29–40. </w:t>
      </w:r>
    </w:p>
    <w:p w14:paraId="4ECF806B" w14:textId="77777777" w:rsidR="003C6F09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7C6BBC2F" w14:textId="296AE8C9" w:rsidR="00947CDE" w:rsidRPr="00947CDE" w:rsidRDefault="003C6F09" w:rsidP="00947CDE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  <w:r>
        <w:rPr>
          <w:rFonts w:asciiTheme="minorHAnsi" w:hAnsiTheme="minorHAnsi" w:cs="Garamond"/>
          <w:b/>
          <w:spacing w:val="-5"/>
        </w:rPr>
        <w:t>Essays</w:t>
      </w:r>
    </w:p>
    <w:p w14:paraId="521920B8" w14:textId="4584382C" w:rsidR="003C6F09" w:rsidRPr="00CE69CB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-Bold"/>
          <w:bCs/>
        </w:rPr>
      </w:pPr>
      <w:r w:rsidRPr="00B556BE">
        <w:rPr>
          <w:rFonts w:asciiTheme="minorHAnsi" w:hAnsiTheme="minorHAnsi" w:cs="Garamond-Bold"/>
          <w:bCs/>
        </w:rPr>
        <w:t xml:space="preserve">“Time, Space, and Matter in Jay Wright’s </w:t>
      </w:r>
      <w:r w:rsidRPr="00B556BE">
        <w:rPr>
          <w:rFonts w:asciiTheme="minorHAnsi" w:hAnsiTheme="minorHAnsi" w:cs="Garamond-Bold"/>
          <w:bCs/>
          <w:i/>
        </w:rPr>
        <w:t>The Presentable Art of Reading Absence</w:t>
      </w:r>
      <w:r w:rsidRPr="00B556BE">
        <w:rPr>
          <w:rFonts w:asciiTheme="minorHAnsi" w:hAnsiTheme="minorHAnsi" w:cs="Garamond-Bold"/>
          <w:bCs/>
        </w:rPr>
        <w:t xml:space="preserve">.” Companion essay to Every </w:t>
      </w:r>
      <w:r>
        <w:rPr>
          <w:rFonts w:asciiTheme="minorHAnsi" w:hAnsiTheme="minorHAnsi" w:cs="Garamond-Bold"/>
          <w:bCs/>
        </w:rPr>
        <w:t>h</w:t>
      </w:r>
      <w:r w:rsidRPr="00B556BE">
        <w:rPr>
          <w:rFonts w:asciiTheme="minorHAnsi" w:hAnsiTheme="minorHAnsi" w:cs="Garamond-Bold"/>
          <w:bCs/>
        </w:rPr>
        <w:t xml:space="preserve">ouse </w:t>
      </w:r>
      <w:r>
        <w:rPr>
          <w:rFonts w:asciiTheme="minorHAnsi" w:hAnsiTheme="minorHAnsi" w:cs="Garamond-Bold"/>
          <w:bCs/>
        </w:rPr>
        <w:t>h</w:t>
      </w:r>
      <w:r w:rsidRPr="00B556BE">
        <w:rPr>
          <w:rFonts w:asciiTheme="minorHAnsi" w:hAnsiTheme="minorHAnsi" w:cs="Garamond-Bold"/>
          <w:bCs/>
        </w:rPr>
        <w:t xml:space="preserve">as a </w:t>
      </w:r>
      <w:r>
        <w:rPr>
          <w:rFonts w:asciiTheme="minorHAnsi" w:hAnsiTheme="minorHAnsi" w:cs="Garamond-Bold"/>
          <w:bCs/>
        </w:rPr>
        <w:t>d</w:t>
      </w:r>
      <w:r w:rsidRPr="00B556BE">
        <w:rPr>
          <w:rFonts w:asciiTheme="minorHAnsi" w:hAnsiTheme="minorHAnsi" w:cs="Garamond-Bold"/>
          <w:bCs/>
        </w:rPr>
        <w:t xml:space="preserve">oor’s production of </w:t>
      </w:r>
      <w:r w:rsidRPr="00B556BE">
        <w:rPr>
          <w:rFonts w:asciiTheme="minorHAnsi" w:hAnsiTheme="minorHAnsi" w:cs="Garamond-Bold"/>
          <w:bCs/>
          <w:i/>
        </w:rPr>
        <w:t xml:space="preserve">Three </w:t>
      </w:r>
      <w:proofErr w:type="spellStart"/>
      <w:r w:rsidRPr="00B556BE">
        <w:rPr>
          <w:rFonts w:asciiTheme="minorHAnsi" w:hAnsiTheme="minorHAnsi" w:cs="Garamond-Bold"/>
          <w:bCs/>
          <w:i/>
        </w:rPr>
        <w:t>Matador</w:t>
      </w:r>
      <w:r>
        <w:rPr>
          <w:rFonts w:asciiTheme="minorHAnsi" w:hAnsiTheme="minorHAnsi" w:cs="Garamond-Bold"/>
          <w:bCs/>
          <w:i/>
        </w:rPr>
        <w:t>e</w:t>
      </w:r>
      <w:r w:rsidRPr="00B556BE">
        <w:rPr>
          <w:rFonts w:asciiTheme="minorHAnsi" w:hAnsiTheme="minorHAnsi" w:cs="Garamond-Bold"/>
          <w:bCs/>
          <w:i/>
        </w:rPr>
        <w:t>s</w:t>
      </w:r>
      <w:proofErr w:type="spellEnd"/>
      <w:r w:rsidRPr="00B556BE">
        <w:rPr>
          <w:rFonts w:asciiTheme="minorHAnsi" w:hAnsiTheme="minorHAnsi" w:cs="Garamond-Bold"/>
          <w:bCs/>
        </w:rPr>
        <w:t xml:space="preserve">, </w:t>
      </w:r>
      <w:r>
        <w:rPr>
          <w:rFonts w:asciiTheme="minorHAnsi" w:hAnsiTheme="minorHAnsi" w:cs="Garamond-Bold"/>
          <w:bCs/>
        </w:rPr>
        <w:t>March 2017.</w:t>
      </w:r>
    </w:p>
    <w:p w14:paraId="29090557" w14:textId="77777777" w:rsidR="003C6F09" w:rsidRPr="00BA6F0B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i/>
          <w:spacing w:val="-5"/>
        </w:rPr>
        <w:t>To Grieve</w:t>
      </w:r>
      <w:r>
        <w:rPr>
          <w:rFonts w:asciiTheme="minorHAnsi" w:hAnsiTheme="minorHAnsi" w:cs="Garamond"/>
          <w:spacing w:val="-5"/>
        </w:rPr>
        <w:t>. Brooklyn, NY: Ugly Duckling Presse, 2017.</w:t>
      </w:r>
    </w:p>
    <w:p w14:paraId="5A1EB3EB" w14:textId="77777777" w:rsidR="003C6F09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66E92BFD" w14:textId="77777777" w:rsidR="003C6F09" w:rsidRPr="00147584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  <w:r w:rsidRPr="00147584">
        <w:rPr>
          <w:rFonts w:asciiTheme="minorHAnsi" w:hAnsiTheme="minorHAnsi" w:cs="Garamond"/>
          <w:b/>
          <w:spacing w:val="-5"/>
        </w:rPr>
        <w:lastRenderedPageBreak/>
        <w:t>Book Chapters</w:t>
      </w:r>
    </w:p>
    <w:p w14:paraId="5C21C624" w14:textId="177D9DF0" w:rsidR="00947CDE" w:rsidRPr="00947CDE" w:rsidRDefault="00947CDE" w:rsidP="00947CDE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Shanna Ketchum-Heap of Birds. </w:t>
      </w:r>
      <w:r w:rsidRPr="00947CDE">
        <w:rPr>
          <w:rFonts w:asciiTheme="minorHAnsi" w:hAnsiTheme="minorHAnsi" w:cs="Garamond"/>
          <w:spacing w:val="-5"/>
        </w:rPr>
        <w:t>“Caring for the ignorant: Kent Monkman’s philosophical theatre</w:t>
      </w:r>
      <w:r>
        <w:rPr>
          <w:rFonts w:asciiTheme="minorHAnsi" w:hAnsiTheme="minorHAnsi" w:cs="Garamond"/>
          <w:spacing w:val="-5"/>
        </w:rPr>
        <w:t xml:space="preserve">.” </w:t>
      </w:r>
      <w:r w:rsidRPr="00947CDE">
        <w:rPr>
          <w:rFonts w:asciiTheme="minorHAnsi" w:hAnsiTheme="minorHAnsi" w:cs="Garamond"/>
          <w:i/>
          <w:iCs/>
          <w:spacing w:val="-5"/>
          <w:lang w:val="de-DE"/>
        </w:rPr>
        <w:t xml:space="preserve">Philosophy, </w:t>
      </w:r>
      <w:proofErr w:type="spellStart"/>
      <w:r w:rsidRPr="00947CDE">
        <w:rPr>
          <w:rFonts w:asciiTheme="minorHAnsi" w:hAnsiTheme="minorHAnsi" w:cs="Garamond"/>
          <w:i/>
          <w:iCs/>
          <w:spacing w:val="-5"/>
          <w:lang w:val="de-DE"/>
        </w:rPr>
        <w:t>Analytic</w:t>
      </w:r>
      <w:proofErr w:type="spellEnd"/>
      <w:r w:rsidRPr="00947CDE">
        <w:rPr>
          <w:rFonts w:asciiTheme="minorHAnsi" w:hAnsiTheme="minorHAnsi" w:cs="Garamond"/>
          <w:i/>
          <w:iCs/>
          <w:spacing w:val="-5"/>
          <w:lang w:val="de-DE"/>
        </w:rPr>
        <w:t xml:space="preserve"> </w:t>
      </w:r>
      <w:proofErr w:type="spellStart"/>
      <w:r w:rsidRPr="00947CDE">
        <w:rPr>
          <w:rFonts w:asciiTheme="minorHAnsi" w:hAnsiTheme="minorHAnsi" w:cs="Garamond"/>
          <w:i/>
          <w:iCs/>
          <w:spacing w:val="-5"/>
          <w:lang w:val="de-DE"/>
        </w:rPr>
        <w:t>Aesthetics</w:t>
      </w:r>
      <w:proofErr w:type="spellEnd"/>
      <w:r w:rsidRPr="00947CDE">
        <w:rPr>
          <w:rFonts w:asciiTheme="minorHAnsi" w:hAnsiTheme="minorHAnsi" w:cs="Garamond"/>
          <w:i/>
          <w:iCs/>
          <w:spacing w:val="-5"/>
          <w:lang w:val="de-DE"/>
        </w:rPr>
        <w:t xml:space="preserve">, and </w:t>
      </w:r>
      <w:proofErr w:type="spellStart"/>
      <w:r w:rsidRPr="00947CDE">
        <w:rPr>
          <w:rFonts w:asciiTheme="minorHAnsi" w:hAnsiTheme="minorHAnsi" w:cs="Garamond"/>
          <w:i/>
          <w:iCs/>
          <w:spacing w:val="-5"/>
          <w:lang w:val="de-DE"/>
        </w:rPr>
        <w:t>Theatre</w:t>
      </w:r>
      <w:proofErr w:type="spellEnd"/>
      <w:r>
        <w:rPr>
          <w:rFonts w:asciiTheme="minorHAnsi" w:hAnsiTheme="minorHAnsi" w:cs="Garamond"/>
          <w:spacing w:val="-5"/>
          <w:lang w:val="de-DE"/>
        </w:rPr>
        <w:t>. Ed. Michael Y. Bennett. New York: Routledge, 2025 (Forthcoming).</w:t>
      </w:r>
    </w:p>
    <w:p w14:paraId="1A497F26" w14:textId="0AB851AB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Natalie Chen, Linda Manchin, and Joanne Zerdy. “This is What the World Needs: ‘This Grief Thing.’” </w:t>
      </w:r>
      <w:r>
        <w:rPr>
          <w:rFonts w:asciiTheme="minorHAnsi" w:hAnsiTheme="minorHAnsi" w:cs="Garamond"/>
          <w:i/>
          <w:iCs/>
          <w:spacing w:val="-5"/>
        </w:rPr>
        <w:t>Love and Not Knowing</w:t>
      </w:r>
      <w:r>
        <w:rPr>
          <w:rFonts w:asciiTheme="minorHAnsi" w:hAnsiTheme="minorHAnsi" w:cs="Garamond"/>
          <w:spacing w:val="-5"/>
        </w:rPr>
        <w:t xml:space="preserve">. Eds. Laura Cull Ó </w:t>
      </w:r>
      <w:proofErr w:type="spellStart"/>
      <w:r>
        <w:rPr>
          <w:rFonts w:asciiTheme="minorHAnsi" w:hAnsiTheme="minorHAnsi" w:cs="Garamond"/>
          <w:spacing w:val="-5"/>
        </w:rPr>
        <w:t>Maoilearca</w:t>
      </w:r>
      <w:proofErr w:type="spellEnd"/>
      <w:r>
        <w:rPr>
          <w:rFonts w:asciiTheme="minorHAnsi" w:hAnsiTheme="minorHAnsi" w:cs="Garamond"/>
          <w:spacing w:val="-5"/>
        </w:rPr>
        <w:t xml:space="preserve"> and Luke Pell. Aberystwyth: Performance Research Books, 2024.  </w:t>
      </w:r>
    </w:p>
    <w:p w14:paraId="109FA069" w14:textId="77777777" w:rsidR="003C6F09" w:rsidRPr="003C0732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Alice Lagaay, “The More One Looks,” </w:t>
      </w:r>
      <w:r>
        <w:rPr>
          <w:rFonts w:asciiTheme="minorHAnsi" w:hAnsiTheme="minorHAnsi" w:cs="Garamond"/>
          <w:i/>
          <w:iCs/>
          <w:spacing w:val="-5"/>
        </w:rPr>
        <w:t>Wittgenstein and Performance</w:t>
      </w:r>
      <w:r>
        <w:rPr>
          <w:rFonts w:asciiTheme="minorHAnsi" w:hAnsiTheme="minorHAnsi" w:cs="Garamond"/>
          <w:spacing w:val="-5"/>
        </w:rPr>
        <w:t xml:space="preserve">, ed. Mischa Twitchin (New York: Rowman and Littlefield, 2024). </w:t>
      </w:r>
    </w:p>
    <w:p w14:paraId="56D99A2F" w14:textId="77777777" w:rsidR="003C6F09" w:rsidRPr="00D21F34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>Co-authored with Harry Wilson. “</w:t>
      </w:r>
      <w:proofErr w:type="spellStart"/>
      <w:r w:rsidRPr="00D21F34">
        <w:rPr>
          <w:rFonts w:asciiTheme="minorHAnsi" w:hAnsiTheme="minorHAnsi" w:cs="Garamond"/>
          <w:spacing w:val="-5"/>
        </w:rPr>
        <w:t>Practising</w:t>
      </w:r>
      <w:proofErr w:type="spellEnd"/>
      <w:r w:rsidRPr="00D21F34">
        <w:rPr>
          <w:rFonts w:asciiTheme="minorHAnsi" w:hAnsiTheme="minorHAnsi" w:cs="Garamond"/>
          <w:spacing w:val="-5"/>
        </w:rPr>
        <w:t xml:space="preserve"> Neutral Dramaturgy(</w:t>
      </w:r>
      <w:proofErr w:type="spellStart"/>
      <w:r w:rsidRPr="00D21F34">
        <w:rPr>
          <w:rFonts w:asciiTheme="minorHAnsi" w:hAnsiTheme="minorHAnsi" w:cs="Garamond"/>
          <w:spacing w:val="-5"/>
        </w:rPr>
        <w:t>ies</w:t>
      </w:r>
      <w:proofErr w:type="spellEnd"/>
      <w:r w:rsidRPr="00D21F34">
        <w:rPr>
          <w:rFonts w:asciiTheme="minorHAnsi" w:hAnsiTheme="minorHAnsi" w:cs="Garamond"/>
          <w:spacing w:val="-5"/>
        </w:rPr>
        <w:t>)</w:t>
      </w:r>
      <w:r>
        <w:rPr>
          <w:rFonts w:asciiTheme="minorHAnsi" w:hAnsiTheme="minorHAnsi" w:cs="Garamond"/>
          <w:spacing w:val="-5"/>
        </w:rPr>
        <w:t xml:space="preserve">.” </w:t>
      </w:r>
      <w:r>
        <w:rPr>
          <w:rFonts w:asciiTheme="minorHAnsi" w:hAnsiTheme="minorHAnsi" w:cs="Garamond"/>
          <w:i/>
          <w:iCs/>
          <w:spacing w:val="-5"/>
        </w:rPr>
        <w:t>Rethinking Roland Barthes Through Performance: A Desire for Neutral Dramaturgy</w:t>
      </w:r>
      <w:r>
        <w:rPr>
          <w:rFonts w:asciiTheme="minorHAnsi" w:hAnsiTheme="minorHAnsi" w:cs="Garamond"/>
          <w:spacing w:val="-5"/>
        </w:rPr>
        <w:t>. Eds. Harry Robert Wilson and Will Daddario. London: Bloomsbury, 2024.</w:t>
      </w:r>
    </w:p>
    <w:p w14:paraId="2948ACAF" w14:textId="41F90EC4" w:rsidR="00947CDE" w:rsidRPr="00947CDE" w:rsidRDefault="00947CDE" w:rsidP="00947CDE">
      <w:pPr>
        <w:pStyle w:val="BasicParagraph"/>
        <w:spacing w:line="240" w:lineRule="auto"/>
        <w:ind w:left="720" w:hanging="720"/>
        <w:rPr>
          <w:rFonts w:asciiTheme="minorHAnsi" w:hAnsiTheme="minorHAnsi" w:cs="Garamond"/>
        </w:rPr>
      </w:pPr>
      <w:r>
        <w:rPr>
          <w:rFonts w:asciiTheme="minorHAnsi" w:hAnsiTheme="minorHAnsi" w:cs="Garamond"/>
          <w:spacing w:val="-5"/>
        </w:rPr>
        <w:t xml:space="preserve">“Some Sights from these Sounds: Jay Wright’s Theatre.” </w:t>
      </w:r>
      <w:r w:rsidRPr="00D21F34">
        <w:rPr>
          <w:rFonts w:asciiTheme="minorHAnsi" w:hAnsiTheme="minorHAnsi" w:cs="Garamond"/>
          <w:i/>
          <w:iCs/>
        </w:rPr>
        <w:t xml:space="preserve">Glimmerings and Constellations: Creative and Critical Responses / Selected Plays of Jay Wright, Volume </w:t>
      </w:r>
      <w:r w:rsidRPr="00D21F34">
        <w:rPr>
          <w:rFonts w:asciiTheme="minorHAnsi" w:hAnsiTheme="minorHAnsi" w:cs="Garamond"/>
        </w:rPr>
        <w:t>Three</w:t>
      </w:r>
      <w:r>
        <w:rPr>
          <w:rFonts w:asciiTheme="minorHAnsi" w:hAnsiTheme="minorHAnsi" w:cs="Garamond"/>
        </w:rPr>
        <w:t xml:space="preserve">. Ed. Will Daddario. Chicago, IL: </w:t>
      </w:r>
      <w:r w:rsidRPr="00D21F34">
        <w:rPr>
          <w:rFonts w:asciiTheme="minorHAnsi" w:hAnsiTheme="minorHAnsi" w:cs="Garamond"/>
        </w:rPr>
        <w:t>Kenning</w:t>
      </w:r>
      <w:r w:rsidRPr="3D197224">
        <w:rPr>
          <w:rFonts w:asciiTheme="minorHAnsi" w:hAnsiTheme="minorHAnsi" w:cs="Garamond"/>
        </w:rPr>
        <w:t xml:space="preserve"> Editions and Every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ouse </w:t>
      </w:r>
      <w:r>
        <w:rPr>
          <w:rFonts w:asciiTheme="minorHAnsi" w:hAnsiTheme="minorHAnsi" w:cs="Garamond"/>
        </w:rPr>
        <w:t>h</w:t>
      </w:r>
      <w:r w:rsidRPr="3D197224">
        <w:rPr>
          <w:rFonts w:asciiTheme="minorHAnsi" w:hAnsiTheme="minorHAnsi" w:cs="Garamond"/>
        </w:rPr>
        <w:t xml:space="preserve">as </w:t>
      </w:r>
      <w:r>
        <w:rPr>
          <w:rFonts w:asciiTheme="minorHAnsi" w:hAnsiTheme="minorHAnsi" w:cs="Garamond"/>
        </w:rPr>
        <w:t>a</w:t>
      </w:r>
      <w:r w:rsidRPr="3D197224">
        <w:rPr>
          <w:rFonts w:asciiTheme="minorHAnsi" w:hAnsiTheme="minorHAnsi" w:cs="Garamond"/>
        </w:rPr>
        <w:t xml:space="preserve"> </w:t>
      </w:r>
      <w:r>
        <w:rPr>
          <w:rFonts w:asciiTheme="minorHAnsi" w:hAnsiTheme="minorHAnsi" w:cs="Garamond"/>
        </w:rPr>
        <w:t>d</w:t>
      </w:r>
      <w:r w:rsidRPr="3D197224">
        <w:rPr>
          <w:rFonts w:asciiTheme="minorHAnsi" w:hAnsiTheme="minorHAnsi" w:cs="Garamond"/>
        </w:rPr>
        <w:t>oor</w:t>
      </w:r>
      <w:r>
        <w:rPr>
          <w:rFonts w:asciiTheme="minorHAnsi" w:hAnsiTheme="minorHAnsi" w:cs="Garamond"/>
        </w:rPr>
        <w:t>, 2023.</w:t>
      </w:r>
    </w:p>
    <w:p w14:paraId="74FCE632" w14:textId="49505138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3D197224">
        <w:rPr>
          <w:rFonts w:asciiTheme="minorHAnsi" w:hAnsiTheme="minorHAnsi" w:cs="Garamond"/>
          <w:spacing w:val="-5"/>
        </w:rPr>
        <w:t xml:space="preserve">Co-authored with Matthew Goulish and Lin Hixson. “In the Making – An Incomplete Consideration of the First Decade of Every House Has </w:t>
      </w:r>
      <w:proofErr w:type="gramStart"/>
      <w:r w:rsidRPr="3D197224">
        <w:rPr>
          <w:rFonts w:asciiTheme="minorHAnsi" w:hAnsiTheme="minorHAnsi" w:cs="Garamond"/>
          <w:spacing w:val="-5"/>
        </w:rPr>
        <w:t>A</w:t>
      </w:r>
      <w:proofErr w:type="gramEnd"/>
      <w:r w:rsidRPr="3D197224">
        <w:rPr>
          <w:rFonts w:asciiTheme="minorHAnsi" w:hAnsiTheme="minorHAnsi" w:cs="Garamond"/>
          <w:spacing w:val="-5"/>
        </w:rPr>
        <w:t xml:space="preserve"> Door as Performance Philosophy.” </w:t>
      </w:r>
      <w:r w:rsidRPr="3D197224">
        <w:rPr>
          <w:rFonts w:asciiTheme="minorHAnsi" w:hAnsiTheme="minorHAnsi" w:cs="Garamond"/>
          <w:i/>
          <w:iCs/>
          <w:spacing w:val="-5"/>
        </w:rPr>
        <w:t>Routledge Companion to Performance Philosophy</w:t>
      </w:r>
      <w:r w:rsidRPr="3D197224">
        <w:rPr>
          <w:rFonts w:asciiTheme="minorHAnsi" w:hAnsiTheme="minorHAnsi" w:cs="Garamond"/>
          <w:spacing w:val="-5"/>
        </w:rPr>
        <w:t xml:space="preserve">. Eds. Laura Cull Ó </w:t>
      </w:r>
      <w:proofErr w:type="spellStart"/>
      <w:r w:rsidRPr="3D197224">
        <w:rPr>
          <w:rFonts w:asciiTheme="minorHAnsi" w:hAnsiTheme="minorHAnsi" w:cs="Garamond"/>
          <w:spacing w:val="-5"/>
        </w:rPr>
        <w:t>Maoilearca</w:t>
      </w:r>
      <w:proofErr w:type="spellEnd"/>
      <w:r w:rsidRPr="3D197224">
        <w:rPr>
          <w:rFonts w:asciiTheme="minorHAnsi" w:hAnsiTheme="minorHAnsi" w:cs="Garamond"/>
          <w:spacing w:val="-5"/>
        </w:rPr>
        <w:t xml:space="preserve"> and Alice Lagaay. London; New York: Routledge</w:t>
      </w:r>
      <w:r>
        <w:rPr>
          <w:rFonts w:asciiTheme="minorHAnsi" w:hAnsiTheme="minorHAnsi" w:cs="Garamond"/>
          <w:spacing w:val="-5"/>
        </w:rPr>
        <w:t>,</w:t>
      </w:r>
      <w:r w:rsidRPr="3D197224">
        <w:rPr>
          <w:rFonts w:asciiTheme="minorHAnsi" w:hAnsiTheme="minorHAnsi" w:cs="Garamond"/>
          <w:spacing w:val="-5"/>
        </w:rPr>
        <w:t xml:space="preserve"> 2020 424–436. </w:t>
      </w:r>
    </w:p>
    <w:p w14:paraId="2518064D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</w:rPr>
      </w:pPr>
      <w:r w:rsidRPr="3D197224">
        <w:rPr>
          <w:rFonts w:asciiTheme="minorHAnsi" w:hAnsiTheme="minorHAnsi" w:cs="Garamond"/>
          <w:spacing w:val="-5"/>
        </w:rPr>
        <w:t>“</w:t>
      </w:r>
      <w:proofErr w:type="spellStart"/>
      <w:r w:rsidRPr="3D197224">
        <w:rPr>
          <w:rFonts w:asciiTheme="minorHAnsi" w:hAnsiTheme="minorHAnsi" w:cs="Garamond"/>
          <w:spacing w:val="-5"/>
        </w:rPr>
        <w:t>Rūmī</w:t>
      </w:r>
      <w:proofErr w:type="spellEnd"/>
      <w:r w:rsidRPr="3D197224">
        <w:rPr>
          <w:rFonts w:asciiTheme="minorHAnsi" w:hAnsiTheme="minorHAnsi" w:cs="Garamond"/>
          <w:spacing w:val="-5"/>
        </w:rPr>
        <w:t xml:space="preserve">.” </w:t>
      </w:r>
      <w:r w:rsidRPr="3D197224">
        <w:rPr>
          <w:rFonts w:asciiTheme="minorHAnsi" w:hAnsiTheme="minorHAnsi" w:cs="Garamond"/>
          <w:i/>
          <w:iCs/>
          <w:spacing w:val="-5"/>
        </w:rPr>
        <w:t>Routledge Companion to Performance Philosophy</w:t>
      </w:r>
      <w:r w:rsidRPr="3D197224">
        <w:rPr>
          <w:rFonts w:asciiTheme="minorHAnsi" w:hAnsiTheme="minorHAnsi" w:cs="Garamond"/>
          <w:spacing w:val="-5"/>
        </w:rPr>
        <w:t xml:space="preserve">. Eds. Laura Cull Ó </w:t>
      </w:r>
      <w:proofErr w:type="spellStart"/>
      <w:r w:rsidRPr="3D197224">
        <w:rPr>
          <w:rFonts w:asciiTheme="minorHAnsi" w:hAnsiTheme="minorHAnsi" w:cs="Garamond"/>
          <w:spacing w:val="-5"/>
        </w:rPr>
        <w:t>Maoilearca</w:t>
      </w:r>
      <w:proofErr w:type="spellEnd"/>
      <w:r w:rsidRPr="3D197224">
        <w:rPr>
          <w:rFonts w:asciiTheme="minorHAnsi" w:hAnsiTheme="minorHAnsi" w:cs="Garamond"/>
          <w:spacing w:val="-5"/>
        </w:rPr>
        <w:t xml:space="preserve"> and Alice Lagaay. London; New York: Routledge</w:t>
      </w:r>
      <w:r>
        <w:rPr>
          <w:rFonts w:asciiTheme="minorHAnsi" w:hAnsiTheme="minorHAnsi" w:cs="Garamond"/>
          <w:spacing w:val="-5"/>
        </w:rPr>
        <w:t>,</w:t>
      </w:r>
      <w:r w:rsidRPr="3D197224">
        <w:rPr>
          <w:rFonts w:asciiTheme="minorHAnsi" w:hAnsiTheme="minorHAnsi" w:cs="Garamond"/>
          <w:spacing w:val="-5"/>
        </w:rPr>
        <w:t xml:space="preserve"> </w:t>
      </w:r>
      <w:r w:rsidRPr="3D197224">
        <w:rPr>
          <w:rFonts w:asciiTheme="minorHAnsi" w:hAnsiTheme="minorHAnsi" w:cs="Garamond"/>
        </w:rPr>
        <w:t>2020. 313–316.</w:t>
      </w:r>
    </w:p>
    <w:p w14:paraId="25B66E4C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bCs/>
          <w:spacing w:val="-5"/>
        </w:rPr>
      </w:pPr>
      <w:r>
        <w:rPr>
          <w:rFonts w:asciiTheme="minorHAnsi" w:hAnsiTheme="minorHAnsi" w:cs="Garamond"/>
          <w:bCs/>
          <w:spacing w:val="-5"/>
        </w:rPr>
        <w:t xml:space="preserve">“Baroque Venice.” </w:t>
      </w:r>
      <w:r>
        <w:rPr>
          <w:rFonts w:asciiTheme="minorHAnsi" w:hAnsiTheme="minorHAnsi" w:cs="Garamond"/>
          <w:bCs/>
          <w:i/>
          <w:iCs/>
          <w:spacing w:val="-5"/>
        </w:rPr>
        <w:t>Palgrave Encyclopedia of Urban Literary Studies</w:t>
      </w:r>
      <w:r>
        <w:rPr>
          <w:rFonts w:asciiTheme="minorHAnsi" w:hAnsiTheme="minorHAnsi" w:cs="Garamond"/>
          <w:bCs/>
          <w:spacing w:val="-5"/>
        </w:rPr>
        <w:t>. Ed. Jeremy Tambling. Springer, 2018. &lt;</w:t>
      </w:r>
      <w:r w:rsidRPr="0006350A">
        <w:rPr>
          <w:rFonts w:asciiTheme="minorHAnsi" w:hAnsiTheme="minorHAnsi" w:cs="Garamond"/>
          <w:bCs/>
          <w:spacing w:val="-5"/>
        </w:rPr>
        <w:t>https://link.springer.com/referencework/10.1007/978-3-319-62592-8</w:t>
      </w:r>
      <w:r>
        <w:rPr>
          <w:rFonts w:asciiTheme="minorHAnsi" w:hAnsiTheme="minorHAnsi" w:cs="Garamond"/>
          <w:bCs/>
          <w:spacing w:val="-5"/>
        </w:rPr>
        <w:t>&gt;</w:t>
      </w:r>
    </w:p>
    <w:p w14:paraId="62B22788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AC3E93">
        <w:rPr>
          <w:rFonts w:asciiTheme="minorHAnsi" w:hAnsiTheme="minorHAnsi" w:cs="Garamond"/>
          <w:spacing w:val="-5"/>
        </w:rPr>
        <w:t xml:space="preserve">“What a Joke: </w:t>
      </w:r>
      <w:proofErr w:type="spellStart"/>
      <w:r w:rsidRPr="00AC3E93">
        <w:rPr>
          <w:rFonts w:asciiTheme="minorHAnsi" w:hAnsiTheme="minorHAnsi" w:cs="Garamond"/>
          <w:spacing w:val="-5"/>
        </w:rPr>
        <w:t>Ruzzante’s</w:t>
      </w:r>
      <w:proofErr w:type="spellEnd"/>
      <w:r w:rsidRPr="00AC3E93">
        <w:rPr>
          <w:rFonts w:asciiTheme="minorHAnsi" w:hAnsiTheme="minorHAnsi" w:cs="Garamond"/>
          <w:spacing w:val="-5"/>
        </w:rPr>
        <w:t xml:space="preserve"> failed attempt at the Good Life.” </w:t>
      </w:r>
      <w:r w:rsidRPr="00091EFB">
        <w:rPr>
          <w:rFonts w:asciiTheme="minorHAnsi" w:hAnsiTheme="minorHAnsi" w:cs="Garamond"/>
          <w:i/>
          <w:spacing w:val="-5"/>
        </w:rPr>
        <w:t>Beyond Failure: New essays on the cultural history of failure in theatre and performance</w:t>
      </w:r>
      <w:r w:rsidRPr="00AC3E93">
        <w:rPr>
          <w:rFonts w:asciiTheme="minorHAnsi" w:hAnsiTheme="minorHAnsi" w:cs="Garamond"/>
          <w:spacing w:val="-5"/>
        </w:rPr>
        <w:t>. Eds. Eve Katso</w:t>
      </w:r>
      <w:r>
        <w:rPr>
          <w:rFonts w:asciiTheme="minorHAnsi" w:hAnsiTheme="minorHAnsi" w:cs="Garamond"/>
          <w:spacing w:val="-5"/>
        </w:rPr>
        <w:t>uraki and Tony Fisher. New York</w:t>
      </w:r>
      <w:r w:rsidRPr="00AC3E93">
        <w:rPr>
          <w:rFonts w:asciiTheme="minorHAnsi" w:hAnsiTheme="minorHAnsi" w:cs="Garamond"/>
          <w:spacing w:val="-5"/>
        </w:rPr>
        <w:t>: Routledge</w:t>
      </w:r>
      <w:r>
        <w:rPr>
          <w:rFonts w:asciiTheme="minorHAnsi" w:hAnsiTheme="minorHAnsi" w:cs="Garamond"/>
          <w:spacing w:val="-5"/>
        </w:rPr>
        <w:t>, 2019</w:t>
      </w:r>
      <w:r w:rsidRPr="00AC3E93">
        <w:rPr>
          <w:rFonts w:asciiTheme="minorHAnsi" w:hAnsiTheme="minorHAnsi" w:cs="Garamond"/>
          <w:spacing w:val="-5"/>
        </w:rPr>
        <w:t>.</w:t>
      </w:r>
      <w:r>
        <w:rPr>
          <w:rFonts w:asciiTheme="minorHAnsi" w:hAnsiTheme="minorHAnsi" w:cs="Garamond"/>
          <w:spacing w:val="-5"/>
        </w:rPr>
        <w:t xml:space="preserve"> 207–222. </w:t>
      </w:r>
    </w:p>
    <w:p w14:paraId="67A38903" w14:textId="77777777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 w:rsidRPr="00AC3E93">
        <w:rPr>
          <w:rFonts w:asciiTheme="minorHAnsi" w:hAnsiTheme="minorHAnsi" w:cs="Garamond"/>
          <w:spacing w:val="-5"/>
        </w:rPr>
        <w:t>“</w:t>
      </w:r>
      <w:r>
        <w:rPr>
          <w:rFonts w:asciiTheme="minorHAnsi" w:hAnsiTheme="minorHAnsi" w:cs="Garamond"/>
          <w:spacing w:val="-5"/>
        </w:rPr>
        <w:t xml:space="preserve">Adorno, Baroque, Gardens, </w:t>
      </w:r>
      <w:proofErr w:type="spellStart"/>
      <w:r>
        <w:rPr>
          <w:rFonts w:asciiTheme="minorHAnsi" w:hAnsiTheme="minorHAnsi" w:cs="Garamond"/>
          <w:spacing w:val="-5"/>
        </w:rPr>
        <w:t>Ruzzante</w:t>
      </w:r>
      <w:proofErr w:type="spellEnd"/>
      <w:r>
        <w:rPr>
          <w:rFonts w:asciiTheme="minorHAnsi" w:hAnsiTheme="minorHAnsi" w:cs="Garamond"/>
          <w:spacing w:val="-5"/>
        </w:rPr>
        <w:t>: Rearranging Theatre Historiography.</w:t>
      </w:r>
      <w:r w:rsidRPr="00AC3E93">
        <w:rPr>
          <w:rFonts w:asciiTheme="minorHAnsi" w:hAnsiTheme="minorHAnsi" w:cs="Garamond"/>
          <w:spacing w:val="-5"/>
        </w:rPr>
        <w:t xml:space="preserve">” </w:t>
      </w:r>
      <w:r w:rsidRPr="00AC3E93">
        <w:rPr>
          <w:rFonts w:asciiTheme="minorHAnsi" w:hAnsiTheme="minorHAnsi" w:cs="Garamond"/>
          <w:i/>
          <w:spacing w:val="-5"/>
        </w:rPr>
        <w:t>Theatre/Performance Historiography: Time, Space, Matter</w:t>
      </w:r>
      <w:r w:rsidRPr="00AC3E93">
        <w:rPr>
          <w:rFonts w:asciiTheme="minorHAnsi" w:hAnsiTheme="minorHAnsi" w:cs="Garamond"/>
          <w:spacing w:val="-5"/>
        </w:rPr>
        <w:t xml:space="preserve">. Eds. </w:t>
      </w:r>
      <w:r>
        <w:rPr>
          <w:rFonts w:asciiTheme="minorHAnsi" w:hAnsiTheme="minorHAnsi" w:cs="Garamond"/>
          <w:spacing w:val="-5"/>
        </w:rPr>
        <w:t>Rosemarie Bank</w:t>
      </w:r>
      <w:r w:rsidRPr="00AC3E93">
        <w:rPr>
          <w:rFonts w:asciiTheme="minorHAnsi" w:hAnsiTheme="minorHAnsi" w:cs="Garamond"/>
          <w:spacing w:val="-5"/>
        </w:rPr>
        <w:t xml:space="preserve"> and </w:t>
      </w:r>
      <w:r>
        <w:rPr>
          <w:rFonts w:asciiTheme="minorHAnsi" w:hAnsiTheme="minorHAnsi" w:cs="Garamond"/>
          <w:spacing w:val="-5"/>
        </w:rPr>
        <w:t xml:space="preserve">Michal Kobialka. Basingstoke, UK: Palgrave Macmillan, 2015. 177–198. </w:t>
      </w:r>
    </w:p>
    <w:p w14:paraId="07CC148E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Joanne Zerdy. </w:t>
      </w:r>
      <w:r w:rsidRPr="00AC3E93">
        <w:rPr>
          <w:rFonts w:asciiTheme="minorHAnsi" w:hAnsiTheme="minorHAnsi" w:cs="Garamond"/>
          <w:spacing w:val="-5"/>
        </w:rPr>
        <w:t xml:space="preserve">“When You Are What You Eat: </w:t>
      </w:r>
      <w:proofErr w:type="spellStart"/>
      <w:r w:rsidRPr="00AC3E93">
        <w:rPr>
          <w:rFonts w:asciiTheme="minorHAnsi" w:hAnsiTheme="minorHAnsi" w:cs="Garamond"/>
          <w:spacing w:val="-5"/>
        </w:rPr>
        <w:t>Ruzzan</w:t>
      </w:r>
      <w:r>
        <w:rPr>
          <w:rFonts w:asciiTheme="minorHAnsi" w:hAnsiTheme="minorHAnsi" w:cs="Garamond"/>
          <w:spacing w:val="-5"/>
        </w:rPr>
        <w:t>te</w:t>
      </w:r>
      <w:proofErr w:type="spellEnd"/>
      <w:r>
        <w:rPr>
          <w:rFonts w:asciiTheme="minorHAnsi" w:hAnsiTheme="minorHAnsi" w:cs="Garamond"/>
          <w:spacing w:val="-5"/>
        </w:rPr>
        <w:t xml:space="preserve"> and Historical Metabolism</w:t>
      </w:r>
      <w:r w:rsidRPr="00AC3E93">
        <w:rPr>
          <w:rFonts w:asciiTheme="minorHAnsi" w:hAnsiTheme="minorHAnsi" w:cs="Garamond"/>
          <w:spacing w:val="-5"/>
        </w:rPr>
        <w:t xml:space="preserve">.” </w:t>
      </w:r>
      <w:r>
        <w:rPr>
          <w:rFonts w:asciiTheme="minorHAnsi" w:hAnsiTheme="minorHAnsi" w:cs="Garamond"/>
          <w:i/>
          <w:spacing w:val="-5"/>
        </w:rPr>
        <w:t>Food and Theatre on the World Stage</w:t>
      </w:r>
      <w:r w:rsidRPr="00AC3E93">
        <w:rPr>
          <w:rFonts w:asciiTheme="minorHAnsi" w:hAnsiTheme="minorHAnsi" w:cs="Garamond"/>
          <w:spacing w:val="-5"/>
        </w:rPr>
        <w:t>. Eds. Dorothy Chansky and Ann Foli</w:t>
      </w:r>
      <w:r>
        <w:rPr>
          <w:rFonts w:asciiTheme="minorHAnsi" w:hAnsiTheme="minorHAnsi" w:cs="Garamond"/>
          <w:spacing w:val="-5"/>
        </w:rPr>
        <w:t xml:space="preserve">no White. New York: Routledge, 2015. 19–32. </w:t>
      </w:r>
    </w:p>
    <w:p w14:paraId="3B3D449B" w14:textId="77777777" w:rsidR="003C6F09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Karoline Gritzner. “Introduction.” </w:t>
      </w:r>
      <w:r w:rsidRPr="00AC3E93">
        <w:rPr>
          <w:rFonts w:asciiTheme="minorHAnsi" w:hAnsiTheme="minorHAnsi" w:cs="Garamond"/>
          <w:i/>
          <w:spacing w:val="-5"/>
        </w:rPr>
        <w:t>Adorno and Performance</w:t>
      </w:r>
      <w:r>
        <w:rPr>
          <w:rFonts w:asciiTheme="minorHAnsi" w:hAnsiTheme="minorHAnsi" w:cs="Garamond"/>
          <w:spacing w:val="-5"/>
        </w:rPr>
        <w:t xml:space="preserve">. Basingstoke, UK: Palgrave Macmillan, 2014. 1–22. </w:t>
      </w:r>
    </w:p>
    <w:p w14:paraId="387DD0EA" w14:textId="77777777" w:rsidR="003C6F09" w:rsidRPr="00DC71D4" w:rsidRDefault="003C6F09" w:rsidP="003C6F09">
      <w:pPr>
        <w:pStyle w:val="BasicParagraph"/>
        <w:spacing w:line="240" w:lineRule="auto"/>
        <w:ind w:left="720" w:hanging="720"/>
        <w:rPr>
          <w:rFonts w:asciiTheme="minorHAnsi" w:hAnsiTheme="minorHAnsi" w:cs="Garamond"/>
          <w:spacing w:val="-5"/>
        </w:rPr>
      </w:pPr>
      <w:r>
        <w:rPr>
          <w:rFonts w:asciiTheme="minorHAnsi" w:hAnsiTheme="minorHAnsi" w:cs="Garamond"/>
          <w:spacing w:val="-5"/>
        </w:rPr>
        <w:t xml:space="preserve">Co-authored with Laura Cull. “Manifesto Now! (Again!).” </w:t>
      </w:r>
      <w:r>
        <w:rPr>
          <w:rFonts w:asciiTheme="minorHAnsi" w:hAnsiTheme="minorHAnsi" w:cs="Garamond"/>
          <w:i/>
          <w:spacing w:val="-5"/>
        </w:rPr>
        <w:t>Manifesto Now! Instructions for Performance, Philosophy, Politics</w:t>
      </w:r>
      <w:r>
        <w:rPr>
          <w:rFonts w:asciiTheme="minorHAnsi" w:hAnsiTheme="minorHAnsi" w:cs="Garamond"/>
          <w:spacing w:val="-5"/>
        </w:rPr>
        <w:t xml:space="preserve">. Bristol, UK: Intellect Books, 2013. 3–20. </w:t>
      </w:r>
    </w:p>
    <w:p w14:paraId="4DC47C58" w14:textId="77777777" w:rsidR="003C6F09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b/>
          <w:spacing w:val="-5"/>
        </w:rPr>
      </w:pPr>
    </w:p>
    <w:p w14:paraId="05E325EC" w14:textId="77777777" w:rsidR="003C6F09" w:rsidRPr="00147584" w:rsidRDefault="003C6F09" w:rsidP="003C6F09">
      <w:pPr>
        <w:pStyle w:val="BasicParagraph"/>
        <w:tabs>
          <w:tab w:val="left" w:pos="360"/>
          <w:tab w:val="left" w:pos="720"/>
        </w:tabs>
        <w:spacing w:line="240" w:lineRule="auto"/>
        <w:rPr>
          <w:rFonts w:asciiTheme="minorHAnsi" w:hAnsiTheme="minorHAnsi" w:cs="Garamond"/>
          <w:spacing w:val="-5"/>
        </w:rPr>
      </w:pPr>
      <w:r w:rsidRPr="00147584">
        <w:rPr>
          <w:rFonts w:asciiTheme="minorHAnsi" w:hAnsiTheme="minorHAnsi" w:cs="Garamond"/>
          <w:b/>
          <w:spacing w:val="-5"/>
        </w:rPr>
        <w:t>Book Reviews</w:t>
      </w:r>
    </w:p>
    <w:p w14:paraId="76327C10" w14:textId="77777777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-Italic"/>
          <w:iCs/>
          <w:szCs w:val="26"/>
        </w:rPr>
      </w:pPr>
      <w:r>
        <w:rPr>
          <w:rFonts w:asciiTheme="minorHAnsi" w:hAnsiTheme="minorHAnsi" w:cs="Garamond-Italic"/>
          <w:iCs/>
          <w:szCs w:val="26"/>
        </w:rPr>
        <w:t xml:space="preserve">S. E. Wilmer and </w:t>
      </w:r>
      <w:proofErr w:type="spellStart"/>
      <w:r w:rsidRPr="002E4673">
        <w:rPr>
          <w:rFonts w:asciiTheme="minorHAnsi" w:hAnsiTheme="minorHAnsi" w:cs="Garamond-Italic"/>
          <w:iCs/>
          <w:szCs w:val="26"/>
        </w:rPr>
        <w:t>Audron</w:t>
      </w:r>
      <w:r w:rsidRPr="002E4673">
        <w:rPr>
          <w:rFonts w:asciiTheme="minorHAnsi" w:hAnsiTheme="minorHAnsi" w:cs="Garamond-Italic" w:hint="eastAsia"/>
          <w:iCs/>
          <w:szCs w:val="26"/>
        </w:rPr>
        <w:t>ė</w:t>
      </w:r>
      <w:proofErr w:type="spellEnd"/>
      <w:r w:rsidRPr="002E4673">
        <w:rPr>
          <w:rFonts w:asciiTheme="minorHAnsi" w:hAnsiTheme="minorHAnsi" w:cs="Garamond-Italic"/>
          <w:iCs/>
          <w:szCs w:val="26"/>
        </w:rPr>
        <w:t xml:space="preserve"> Žukauskait</w:t>
      </w:r>
      <w:r w:rsidRPr="002E4673">
        <w:rPr>
          <w:rFonts w:asciiTheme="minorHAnsi" w:hAnsiTheme="minorHAnsi" w:cs="Garamond-Italic" w:hint="eastAsia"/>
          <w:iCs/>
          <w:szCs w:val="26"/>
        </w:rPr>
        <w:t>ė</w:t>
      </w:r>
      <w:r>
        <w:rPr>
          <w:rFonts w:asciiTheme="minorHAnsi" w:hAnsiTheme="minorHAnsi" w:cs="Garamond-Italic"/>
          <w:iCs/>
          <w:szCs w:val="26"/>
        </w:rPr>
        <w:t xml:space="preserve">, eds. </w:t>
      </w:r>
      <w:r w:rsidRPr="002E4673">
        <w:rPr>
          <w:rFonts w:asciiTheme="minorHAnsi" w:hAnsiTheme="minorHAnsi" w:cs="Garamond-Italic"/>
          <w:i/>
          <w:iCs/>
          <w:szCs w:val="26"/>
        </w:rPr>
        <w:t>Deleuze and Beckett.</w:t>
      </w:r>
      <w:r>
        <w:rPr>
          <w:rFonts w:asciiTheme="minorHAnsi" w:hAnsiTheme="minorHAnsi" w:cs="Garamond-Italic"/>
          <w:iCs/>
          <w:szCs w:val="26"/>
        </w:rPr>
        <w:t xml:space="preserve"> </w:t>
      </w:r>
      <w:proofErr w:type="spellStart"/>
      <w:r>
        <w:rPr>
          <w:rFonts w:asciiTheme="minorHAnsi" w:hAnsiTheme="minorHAnsi" w:cs="Garamond-Italic"/>
          <w:iCs/>
          <w:szCs w:val="26"/>
        </w:rPr>
        <w:t>Houndmills</w:t>
      </w:r>
      <w:proofErr w:type="spellEnd"/>
      <w:r>
        <w:rPr>
          <w:rFonts w:asciiTheme="minorHAnsi" w:hAnsiTheme="minorHAnsi" w:cs="Garamond-Italic"/>
          <w:iCs/>
          <w:szCs w:val="26"/>
        </w:rPr>
        <w:t xml:space="preserve">, England: Palgrave, 2015 in </w:t>
      </w:r>
      <w:r>
        <w:rPr>
          <w:rFonts w:asciiTheme="minorHAnsi" w:hAnsiTheme="minorHAnsi" w:cs="Garamond-Italic"/>
          <w:i/>
          <w:iCs/>
          <w:szCs w:val="26"/>
        </w:rPr>
        <w:t xml:space="preserve">Critical </w:t>
      </w:r>
      <w:r w:rsidRPr="002E4673">
        <w:rPr>
          <w:rFonts w:asciiTheme="minorHAnsi" w:hAnsiTheme="minorHAnsi" w:cs="Garamond-Italic"/>
          <w:i/>
          <w:iCs/>
          <w:szCs w:val="26"/>
        </w:rPr>
        <w:t>Stages</w:t>
      </w:r>
      <w:r>
        <w:rPr>
          <w:rFonts w:asciiTheme="minorHAnsi" w:hAnsiTheme="minorHAnsi" w:cs="Garamond-Italic"/>
          <w:iCs/>
          <w:szCs w:val="26"/>
        </w:rPr>
        <w:t xml:space="preserve"> &lt;</w:t>
      </w:r>
      <w:r w:rsidRPr="00EB30CB">
        <w:rPr>
          <w:rFonts w:asciiTheme="minorHAnsi" w:hAnsiTheme="minorHAnsi" w:cs="Garamond-Italic"/>
          <w:iCs/>
          <w:szCs w:val="26"/>
        </w:rPr>
        <w:t>http://www.critical-stages.org/14/deleuze-and-beckett/</w:t>
      </w:r>
      <w:r>
        <w:rPr>
          <w:rFonts w:asciiTheme="minorHAnsi" w:hAnsiTheme="minorHAnsi" w:cs="Garamond-Italic"/>
          <w:iCs/>
          <w:szCs w:val="26"/>
        </w:rPr>
        <w:t>&gt;</w:t>
      </w:r>
    </w:p>
    <w:p w14:paraId="09CE6DE6" w14:textId="77777777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-Italic"/>
          <w:iCs/>
          <w:szCs w:val="26"/>
        </w:rPr>
      </w:pPr>
      <w:r>
        <w:rPr>
          <w:rFonts w:asciiTheme="minorHAnsi" w:hAnsiTheme="minorHAnsi" w:cs="Garamond-Italic"/>
          <w:iCs/>
          <w:szCs w:val="26"/>
        </w:rPr>
        <w:t xml:space="preserve">Tzachi Zamir. </w:t>
      </w:r>
      <w:r>
        <w:rPr>
          <w:rFonts w:asciiTheme="minorHAnsi" w:hAnsiTheme="minorHAnsi" w:cs="Garamond-Italic"/>
          <w:i/>
          <w:iCs/>
          <w:szCs w:val="26"/>
        </w:rPr>
        <w:t>Acts: Theatre, Philosophy, and the Performing Self</w:t>
      </w:r>
      <w:r>
        <w:rPr>
          <w:rFonts w:asciiTheme="minorHAnsi" w:hAnsiTheme="minorHAnsi" w:cs="Garamond-Italic"/>
          <w:iCs/>
          <w:szCs w:val="26"/>
        </w:rPr>
        <w:t xml:space="preserve">. Ann Arbor: University of Michigan Press, 2015 in </w:t>
      </w:r>
      <w:r>
        <w:rPr>
          <w:rFonts w:asciiTheme="minorHAnsi" w:hAnsiTheme="minorHAnsi" w:cs="Garamond-Italic"/>
          <w:i/>
          <w:iCs/>
          <w:szCs w:val="26"/>
        </w:rPr>
        <w:t>The Drama Review</w:t>
      </w:r>
      <w:r>
        <w:rPr>
          <w:rFonts w:asciiTheme="minorHAnsi" w:hAnsiTheme="minorHAnsi" w:cs="Garamond-Italic"/>
          <w:iCs/>
          <w:szCs w:val="26"/>
        </w:rPr>
        <w:t xml:space="preserve"> 59:4 (Winter 2015): 189–192.</w:t>
      </w:r>
    </w:p>
    <w:p w14:paraId="4F5ABC3D" w14:textId="77777777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-Italic"/>
          <w:iCs/>
          <w:szCs w:val="26"/>
        </w:rPr>
      </w:pPr>
      <w:r>
        <w:rPr>
          <w:rFonts w:asciiTheme="minorHAnsi" w:hAnsiTheme="minorHAnsi" w:cs="Garamond-Italic"/>
          <w:iCs/>
          <w:szCs w:val="26"/>
        </w:rPr>
        <w:t xml:space="preserve">Stephen Wangh. </w:t>
      </w:r>
      <w:r>
        <w:rPr>
          <w:rFonts w:asciiTheme="minorHAnsi" w:hAnsiTheme="minorHAnsi" w:cs="Garamond-Italic"/>
          <w:i/>
          <w:iCs/>
          <w:szCs w:val="26"/>
        </w:rPr>
        <w:t>The Heart of Teaching: Empowering Students in the Performing Arts</w:t>
      </w:r>
      <w:r>
        <w:rPr>
          <w:rFonts w:asciiTheme="minorHAnsi" w:hAnsiTheme="minorHAnsi" w:cs="Garamond-Italic"/>
          <w:iCs/>
          <w:szCs w:val="26"/>
        </w:rPr>
        <w:t xml:space="preserve">. New </w:t>
      </w:r>
      <w:r>
        <w:rPr>
          <w:rFonts w:asciiTheme="minorHAnsi" w:hAnsiTheme="minorHAnsi" w:cs="Garamond-Italic"/>
          <w:iCs/>
          <w:szCs w:val="26"/>
        </w:rPr>
        <w:lastRenderedPageBreak/>
        <w:t xml:space="preserve">York: Routledge, 2013 in </w:t>
      </w:r>
      <w:r>
        <w:rPr>
          <w:rFonts w:asciiTheme="minorHAnsi" w:hAnsiTheme="minorHAnsi" w:cs="Garamond-Italic"/>
          <w:i/>
          <w:iCs/>
          <w:szCs w:val="26"/>
        </w:rPr>
        <w:t>The Drama Review</w:t>
      </w:r>
      <w:r>
        <w:rPr>
          <w:rFonts w:asciiTheme="minorHAnsi" w:hAnsiTheme="minorHAnsi" w:cs="Garamond-Italic"/>
          <w:iCs/>
          <w:szCs w:val="26"/>
        </w:rPr>
        <w:t xml:space="preserve"> 57:4 (Fall 2014): 186–187. </w:t>
      </w:r>
    </w:p>
    <w:p w14:paraId="66F44607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-Italic"/>
          <w:iCs/>
          <w:szCs w:val="26"/>
        </w:rPr>
      </w:pPr>
      <w:r w:rsidRPr="00AC3E93">
        <w:rPr>
          <w:rFonts w:asciiTheme="minorHAnsi" w:hAnsiTheme="minorHAnsi" w:cs="Garamond-Italic"/>
          <w:iCs/>
          <w:szCs w:val="26"/>
        </w:rPr>
        <w:t>Martin</w:t>
      </w:r>
      <w:r>
        <w:rPr>
          <w:rFonts w:asciiTheme="minorHAnsi" w:hAnsiTheme="minorHAnsi" w:cs="Garamond-Italic"/>
          <w:iCs/>
          <w:szCs w:val="26"/>
        </w:rPr>
        <w:t xml:space="preserve"> Puchner</w:t>
      </w:r>
      <w:r w:rsidRPr="00AC3E93">
        <w:rPr>
          <w:rFonts w:asciiTheme="minorHAnsi" w:hAnsiTheme="minorHAnsi" w:cs="Garamond-Italic"/>
          <w:iCs/>
          <w:szCs w:val="26"/>
        </w:rPr>
        <w:t>.</w:t>
      </w:r>
      <w:r w:rsidRPr="00AC3E93">
        <w:rPr>
          <w:rFonts w:asciiTheme="minorHAnsi" w:hAnsiTheme="minorHAnsi" w:cs="Garamond-Italic"/>
          <w:i/>
          <w:iCs/>
          <w:szCs w:val="26"/>
        </w:rPr>
        <w:t xml:space="preserve"> The Drama of Ideas: Platonic Provocations in Theater and Philosophy</w:t>
      </w:r>
      <w:r w:rsidRPr="00AC3E93">
        <w:rPr>
          <w:rFonts w:asciiTheme="minorHAnsi" w:hAnsiTheme="minorHAnsi" w:cs="Garamond-Italic"/>
          <w:iCs/>
          <w:szCs w:val="26"/>
        </w:rPr>
        <w:t>. Oxford: Oxford U</w:t>
      </w:r>
      <w:r>
        <w:rPr>
          <w:rFonts w:asciiTheme="minorHAnsi" w:hAnsiTheme="minorHAnsi" w:cs="Garamond-Italic"/>
          <w:iCs/>
          <w:szCs w:val="26"/>
        </w:rPr>
        <w:t>niversity Press</w:t>
      </w:r>
      <w:r w:rsidRPr="00AC3E93">
        <w:rPr>
          <w:rFonts w:asciiTheme="minorHAnsi" w:hAnsiTheme="minorHAnsi" w:cs="Garamond-Italic"/>
          <w:iCs/>
          <w:szCs w:val="26"/>
        </w:rPr>
        <w:t xml:space="preserve">, 2010 in </w:t>
      </w:r>
      <w:r w:rsidRPr="00AC3E93">
        <w:rPr>
          <w:rFonts w:asciiTheme="minorHAnsi" w:hAnsiTheme="minorHAnsi" w:cs="Garamond-Italic"/>
          <w:i/>
          <w:iCs/>
          <w:szCs w:val="26"/>
        </w:rPr>
        <w:t>The Drama Review</w:t>
      </w:r>
      <w:r>
        <w:rPr>
          <w:rFonts w:asciiTheme="minorHAnsi" w:hAnsiTheme="minorHAnsi" w:cs="Garamond-Italic"/>
          <w:iCs/>
          <w:szCs w:val="26"/>
        </w:rPr>
        <w:t xml:space="preserve"> 57:</w:t>
      </w:r>
      <w:r w:rsidRPr="00AC3E93">
        <w:rPr>
          <w:rFonts w:asciiTheme="minorHAnsi" w:hAnsiTheme="minorHAnsi" w:cs="Garamond-Italic"/>
          <w:iCs/>
          <w:szCs w:val="26"/>
        </w:rPr>
        <w:t>3 (Fall 2013)</w:t>
      </w:r>
      <w:r>
        <w:rPr>
          <w:rFonts w:asciiTheme="minorHAnsi" w:hAnsiTheme="minorHAnsi" w:cs="Garamond-Italic"/>
          <w:iCs/>
          <w:szCs w:val="26"/>
        </w:rPr>
        <w:t>: 167–169</w:t>
      </w:r>
      <w:r w:rsidRPr="00AC3E93">
        <w:rPr>
          <w:rFonts w:asciiTheme="minorHAnsi" w:hAnsiTheme="minorHAnsi" w:cs="Garamond-Italic"/>
          <w:iCs/>
          <w:szCs w:val="26"/>
        </w:rPr>
        <w:t>.</w:t>
      </w:r>
      <w:r>
        <w:rPr>
          <w:rFonts w:asciiTheme="minorHAnsi" w:hAnsiTheme="minorHAnsi" w:cs="Garamond-Italic"/>
          <w:iCs/>
          <w:szCs w:val="26"/>
        </w:rPr>
        <w:t xml:space="preserve"> </w:t>
      </w:r>
    </w:p>
    <w:p w14:paraId="442F5A87" w14:textId="77777777" w:rsidR="003C6F09" w:rsidRPr="00AC3E93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zCs w:val="26"/>
        </w:rPr>
      </w:pPr>
      <w:r>
        <w:rPr>
          <w:rFonts w:asciiTheme="minorHAnsi" w:hAnsiTheme="minorHAnsi" w:cs="Garamond-Italic"/>
          <w:iCs/>
          <w:szCs w:val="26"/>
        </w:rPr>
        <w:t xml:space="preserve">Laura Cull, ed. </w:t>
      </w:r>
      <w:r w:rsidRPr="00AC3E93">
        <w:rPr>
          <w:rFonts w:asciiTheme="minorHAnsi" w:hAnsiTheme="minorHAnsi" w:cs="Garamond-Italic"/>
          <w:i/>
          <w:iCs/>
          <w:szCs w:val="26"/>
        </w:rPr>
        <w:t>Deleuze and Performance</w:t>
      </w:r>
      <w:r w:rsidRPr="00AC3E93">
        <w:rPr>
          <w:rFonts w:asciiTheme="minorHAnsi" w:hAnsiTheme="minorHAnsi" w:cs="Garamond"/>
          <w:szCs w:val="26"/>
        </w:rPr>
        <w:t>. Edinb</w:t>
      </w:r>
      <w:r>
        <w:rPr>
          <w:rFonts w:asciiTheme="minorHAnsi" w:hAnsiTheme="minorHAnsi" w:cs="Garamond"/>
          <w:szCs w:val="26"/>
        </w:rPr>
        <w:t>urgh: Edinburgh University Press</w:t>
      </w:r>
      <w:r w:rsidRPr="00AC3E93">
        <w:rPr>
          <w:rFonts w:asciiTheme="minorHAnsi" w:hAnsiTheme="minorHAnsi" w:cs="Garamond"/>
          <w:szCs w:val="26"/>
        </w:rPr>
        <w:t xml:space="preserve">, 2009 in </w:t>
      </w:r>
      <w:r w:rsidRPr="00AC3E93">
        <w:rPr>
          <w:rFonts w:asciiTheme="minorHAnsi" w:hAnsiTheme="minorHAnsi" w:cs="Garamond-Italic"/>
          <w:i/>
          <w:iCs/>
          <w:szCs w:val="26"/>
        </w:rPr>
        <w:t>Theatre Survey</w:t>
      </w:r>
      <w:r>
        <w:rPr>
          <w:rFonts w:asciiTheme="minorHAnsi" w:hAnsiTheme="minorHAnsi" w:cs="Garamond"/>
          <w:szCs w:val="26"/>
        </w:rPr>
        <w:t xml:space="preserve"> 52:</w:t>
      </w:r>
      <w:r w:rsidRPr="00AC3E93">
        <w:rPr>
          <w:rFonts w:asciiTheme="minorHAnsi" w:hAnsiTheme="minorHAnsi" w:cs="Garamond"/>
          <w:szCs w:val="26"/>
        </w:rPr>
        <w:t>1 (May 2011): 207</w:t>
      </w:r>
      <w:r>
        <w:rPr>
          <w:rFonts w:asciiTheme="minorHAnsi" w:hAnsiTheme="minorHAnsi" w:cs="Garamond"/>
          <w:szCs w:val="26"/>
        </w:rPr>
        <w:t>–</w:t>
      </w:r>
      <w:r w:rsidRPr="00AC3E93">
        <w:rPr>
          <w:rFonts w:asciiTheme="minorHAnsi" w:hAnsiTheme="minorHAnsi" w:cs="Garamond"/>
          <w:szCs w:val="26"/>
        </w:rPr>
        <w:t>209.</w:t>
      </w:r>
      <w:r>
        <w:rPr>
          <w:rFonts w:asciiTheme="minorHAnsi" w:hAnsiTheme="minorHAnsi" w:cs="Garamond"/>
          <w:szCs w:val="26"/>
        </w:rPr>
        <w:t xml:space="preserve"> </w:t>
      </w:r>
    </w:p>
    <w:p w14:paraId="67B0BAAB" w14:textId="77777777" w:rsidR="003C6F09" w:rsidRPr="00CE69CB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zCs w:val="26"/>
        </w:rPr>
      </w:pPr>
      <w:r w:rsidRPr="00AC3E93">
        <w:rPr>
          <w:rFonts w:asciiTheme="minorHAnsi" w:hAnsiTheme="minorHAnsi" w:cs="Garamond"/>
          <w:szCs w:val="26"/>
        </w:rPr>
        <w:t>Colin Counsell and Roberta Mock</w:t>
      </w:r>
      <w:r>
        <w:rPr>
          <w:rFonts w:asciiTheme="minorHAnsi" w:hAnsiTheme="minorHAnsi" w:cs="Garamond"/>
          <w:szCs w:val="26"/>
        </w:rPr>
        <w:t>, eds</w:t>
      </w:r>
      <w:r w:rsidRPr="00AC3E93">
        <w:rPr>
          <w:rFonts w:asciiTheme="minorHAnsi" w:hAnsiTheme="minorHAnsi" w:cs="Garamond"/>
          <w:szCs w:val="26"/>
        </w:rPr>
        <w:t xml:space="preserve">. </w:t>
      </w:r>
      <w:r w:rsidRPr="00AC3E93">
        <w:rPr>
          <w:rFonts w:asciiTheme="minorHAnsi" w:hAnsiTheme="minorHAnsi" w:cs="Garamond-Italic"/>
          <w:i/>
          <w:iCs/>
          <w:szCs w:val="26"/>
        </w:rPr>
        <w:t>Performance, Embodiment and Cultural Memory</w:t>
      </w:r>
      <w:r>
        <w:rPr>
          <w:rFonts w:asciiTheme="minorHAnsi" w:hAnsiTheme="minorHAnsi" w:cs="Garamond"/>
          <w:szCs w:val="26"/>
        </w:rPr>
        <w:t>. Newcastle upon Tyne, UK</w:t>
      </w:r>
      <w:r w:rsidRPr="00AC3E93">
        <w:rPr>
          <w:rFonts w:asciiTheme="minorHAnsi" w:hAnsiTheme="minorHAnsi" w:cs="Garamond"/>
          <w:szCs w:val="26"/>
        </w:rPr>
        <w:t xml:space="preserve">: Cambridge Scholars Publishing, 2009 in </w:t>
      </w:r>
      <w:r w:rsidRPr="00AC3E93">
        <w:rPr>
          <w:rFonts w:asciiTheme="minorHAnsi" w:hAnsiTheme="minorHAnsi" w:cs="Garamond-Italic"/>
          <w:i/>
          <w:iCs/>
          <w:szCs w:val="26"/>
        </w:rPr>
        <w:t>New England Theatre Journal</w:t>
      </w:r>
      <w:r>
        <w:rPr>
          <w:rFonts w:asciiTheme="minorHAnsi" w:hAnsiTheme="minorHAnsi" w:cs="Garamond"/>
          <w:szCs w:val="26"/>
        </w:rPr>
        <w:t xml:space="preserve"> </w:t>
      </w:r>
      <w:r w:rsidRPr="00AC3E93">
        <w:rPr>
          <w:rFonts w:asciiTheme="minorHAnsi" w:hAnsiTheme="minorHAnsi" w:cs="Garamond"/>
          <w:szCs w:val="26"/>
        </w:rPr>
        <w:t>21 (2010): 185</w:t>
      </w:r>
      <w:r>
        <w:rPr>
          <w:rFonts w:asciiTheme="minorHAnsi" w:hAnsiTheme="minorHAnsi" w:cs="Garamond"/>
          <w:szCs w:val="26"/>
        </w:rPr>
        <w:t>–</w:t>
      </w:r>
      <w:r w:rsidRPr="00AC3E93">
        <w:rPr>
          <w:rFonts w:asciiTheme="minorHAnsi" w:hAnsiTheme="minorHAnsi" w:cs="Garamond"/>
          <w:szCs w:val="26"/>
        </w:rPr>
        <w:t>188.</w:t>
      </w:r>
      <w:r>
        <w:rPr>
          <w:rFonts w:asciiTheme="minorHAnsi" w:hAnsiTheme="minorHAnsi" w:cs="Garamond"/>
          <w:szCs w:val="26"/>
        </w:rPr>
        <w:t xml:space="preserve"> </w:t>
      </w:r>
    </w:p>
    <w:p w14:paraId="01F612DC" w14:textId="77777777" w:rsidR="003C6F09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jc w:val="both"/>
        <w:rPr>
          <w:rFonts w:asciiTheme="minorHAnsi" w:hAnsiTheme="minorHAnsi" w:cs="Garamond"/>
          <w:szCs w:val="26"/>
        </w:rPr>
      </w:pPr>
      <w:r w:rsidRPr="00AC3E93">
        <w:rPr>
          <w:rFonts w:asciiTheme="minorHAnsi" w:hAnsiTheme="minorHAnsi" w:cs="Garamond-Italic"/>
          <w:i/>
          <w:iCs/>
          <w:szCs w:val="26"/>
        </w:rPr>
        <w:t>Skills for Actors: Body Language Skills</w:t>
      </w:r>
      <w:r w:rsidRPr="00AC3E93">
        <w:rPr>
          <w:rFonts w:asciiTheme="minorHAnsi" w:hAnsiTheme="minorHAnsi" w:cs="Garamond"/>
          <w:szCs w:val="26"/>
        </w:rPr>
        <w:t xml:space="preserve">. First Light Video Publishing, 2008. DVD. </w:t>
      </w:r>
      <w:r w:rsidRPr="00AC3E93">
        <w:rPr>
          <w:rFonts w:asciiTheme="minorHAnsi" w:hAnsiTheme="minorHAnsi" w:cs="Garamond-Italic"/>
          <w:i/>
          <w:iCs/>
          <w:szCs w:val="26"/>
        </w:rPr>
        <w:t>A Moving Presence: Ruth Zaporah and Action Theater</w:t>
      </w:r>
      <w:r w:rsidRPr="00AC3E93">
        <w:rPr>
          <w:rFonts w:asciiTheme="minorHAnsi" w:hAnsiTheme="minorHAnsi" w:cs="Garamond"/>
          <w:szCs w:val="26"/>
        </w:rPr>
        <w:t xml:space="preserve">. Insight-Media, 2009. DVD in </w:t>
      </w:r>
      <w:r w:rsidRPr="00AC3E93">
        <w:rPr>
          <w:rFonts w:asciiTheme="minorHAnsi" w:hAnsiTheme="minorHAnsi" w:cs="Garamond-Italic"/>
          <w:i/>
          <w:iCs/>
          <w:szCs w:val="26"/>
        </w:rPr>
        <w:t>The Drama Review</w:t>
      </w:r>
      <w:r w:rsidRPr="00AC3E93">
        <w:rPr>
          <w:rFonts w:asciiTheme="minorHAnsi" w:hAnsiTheme="minorHAnsi" w:cs="Garamond"/>
          <w:szCs w:val="26"/>
        </w:rPr>
        <w:t xml:space="preserve"> </w:t>
      </w:r>
      <w:r>
        <w:rPr>
          <w:rFonts w:asciiTheme="minorHAnsi" w:hAnsiTheme="minorHAnsi" w:cs="Garamond"/>
          <w:szCs w:val="26"/>
        </w:rPr>
        <w:t>54:</w:t>
      </w:r>
      <w:r w:rsidRPr="00AC3E93">
        <w:rPr>
          <w:rFonts w:asciiTheme="minorHAnsi" w:hAnsiTheme="minorHAnsi" w:cs="Garamond"/>
          <w:szCs w:val="26"/>
        </w:rPr>
        <w:t>1 (Spring 2010): 178</w:t>
      </w:r>
      <w:r>
        <w:rPr>
          <w:rFonts w:asciiTheme="minorHAnsi" w:hAnsiTheme="minorHAnsi" w:cs="Garamond"/>
          <w:szCs w:val="26"/>
        </w:rPr>
        <w:t>–1</w:t>
      </w:r>
      <w:r w:rsidRPr="00AC3E93">
        <w:rPr>
          <w:rFonts w:asciiTheme="minorHAnsi" w:hAnsiTheme="minorHAnsi" w:cs="Garamond"/>
          <w:szCs w:val="26"/>
        </w:rPr>
        <w:t>80.</w:t>
      </w:r>
      <w:r>
        <w:rPr>
          <w:rFonts w:asciiTheme="minorHAnsi" w:hAnsiTheme="minorHAnsi" w:cs="Garamond"/>
          <w:szCs w:val="26"/>
        </w:rPr>
        <w:t xml:space="preserve"> </w:t>
      </w:r>
    </w:p>
    <w:p w14:paraId="583E2224" w14:textId="77777777" w:rsidR="003C6F09" w:rsidRPr="00E06D75" w:rsidRDefault="003C6F09" w:rsidP="003C6F09">
      <w:pPr>
        <w:pStyle w:val="BasicParagraph"/>
        <w:tabs>
          <w:tab w:val="left" w:pos="720"/>
        </w:tabs>
        <w:spacing w:line="240" w:lineRule="auto"/>
        <w:ind w:left="720" w:hanging="720"/>
        <w:rPr>
          <w:rFonts w:asciiTheme="minorHAnsi" w:hAnsiTheme="minorHAnsi" w:cs="Garamond"/>
          <w:szCs w:val="26"/>
        </w:rPr>
      </w:pPr>
      <w:r w:rsidRPr="00AC3E93">
        <w:rPr>
          <w:rFonts w:asciiTheme="minorHAnsi" w:hAnsiTheme="minorHAnsi" w:cs="Garamond"/>
          <w:szCs w:val="26"/>
        </w:rPr>
        <w:t>Thomas</w:t>
      </w:r>
      <w:r>
        <w:rPr>
          <w:rFonts w:asciiTheme="minorHAnsi" w:hAnsiTheme="minorHAnsi" w:cs="Garamond"/>
          <w:szCs w:val="26"/>
        </w:rPr>
        <w:t xml:space="preserve"> Postlewait. </w:t>
      </w:r>
      <w:r w:rsidRPr="00AC3E93">
        <w:rPr>
          <w:rFonts w:asciiTheme="minorHAnsi" w:hAnsiTheme="minorHAnsi" w:cs="Garamond-Italic"/>
          <w:i/>
          <w:iCs/>
          <w:szCs w:val="26"/>
        </w:rPr>
        <w:t>The Cambridge Introduction to Theatre Historiography</w:t>
      </w:r>
      <w:r>
        <w:rPr>
          <w:rFonts w:asciiTheme="minorHAnsi" w:hAnsiTheme="minorHAnsi" w:cs="Garamond"/>
          <w:szCs w:val="26"/>
        </w:rPr>
        <w:t>. Cambridge University Press</w:t>
      </w:r>
      <w:r w:rsidRPr="00AC3E93">
        <w:rPr>
          <w:rFonts w:asciiTheme="minorHAnsi" w:hAnsiTheme="minorHAnsi" w:cs="Garamond"/>
          <w:szCs w:val="26"/>
        </w:rPr>
        <w:t xml:space="preserve">, 2009 in </w:t>
      </w:r>
      <w:r w:rsidRPr="00AC3E93">
        <w:rPr>
          <w:rFonts w:asciiTheme="minorHAnsi" w:hAnsiTheme="minorHAnsi" w:cs="Garamond-Italic"/>
          <w:i/>
          <w:iCs/>
          <w:szCs w:val="26"/>
        </w:rPr>
        <w:t>Contemporary Theatre Review</w:t>
      </w:r>
      <w:r>
        <w:rPr>
          <w:rFonts w:asciiTheme="minorHAnsi" w:hAnsiTheme="minorHAnsi" w:cs="Garamond"/>
          <w:szCs w:val="26"/>
        </w:rPr>
        <w:t xml:space="preserve"> </w:t>
      </w:r>
      <w:r w:rsidRPr="00AC3E93">
        <w:rPr>
          <w:rFonts w:asciiTheme="minorHAnsi" w:hAnsiTheme="minorHAnsi" w:cs="Garamond"/>
          <w:szCs w:val="26"/>
        </w:rPr>
        <w:t>2</w:t>
      </w:r>
      <w:r>
        <w:rPr>
          <w:rFonts w:asciiTheme="minorHAnsi" w:hAnsiTheme="minorHAnsi" w:cs="Garamond"/>
          <w:szCs w:val="26"/>
        </w:rPr>
        <w:t>0.</w:t>
      </w:r>
      <w:r w:rsidRPr="00AC3E93">
        <w:rPr>
          <w:rFonts w:asciiTheme="minorHAnsi" w:hAnsiTheme="minorHAnsi" w:cs="Garamond"/>
          <w:szCs w:val="26"/>
        </w:rPr>
        <w:t>1 (Spring 2010): 125</w:t>
      </w:r>
      <w:r>
        <w:rPr>
          <w:rFonts w:asciiTheme="minorHAnsi" w:hAnsiTheme="minorHAnsi" w:cs="Garamond"/>
          <w:szCs w:val="26"/>
        </w:rPr>
        <w:t>–</w:t>
      </w:r>
      <w:r w:rsidRPr="00AC3E93">
        <w:rPr>
          <w:rFonts w:asciiTheme="minorHAnsi" w:hAnsiTheme="minorHAnsi" w:cs="Garamond"/>
          <w:szCs w:val="26"/>
        </w:rPr>
        <w:t>127.</w:t>
      </w:r>
      <w:r>
        <w:rPr>
          <w:rFonts w:asciiTheme="minorHAnsi" w:hAnsiTheme="minorHAnsi" w:cs="Garamond"/>
          <w:szCs w:val="26"/>
        </w:rPr>
        <w:t xml:space="preserve"> </w:t>
      </w:r>
    </w:p>
    <w:p w14:paraId="3182C1DC" w14:textId="77777777" w:rsidR="00527265" w:rsidRDefault="00527265"/>
    <w:sectPr w:rsidR="0052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-Bold">
    <w:altName w:val="Garamon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ramond-Italic">
    <w:altName w:val="Garamon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F762C8"/>
    <w:multiLevelType w:val="hybridMultilevel"/>
    <w:tmpl w:val="50D8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C77EA"/>
    <w:multiLevelType w:val="hybridMultilevel"/>
    <w:tmpl w:val="86D4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00375">
    <w:abstractNumId w:val="1"/>
  </w:num>
  <w:num w:numId="2" w16cid:durableId="161953236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09"/>
    <w:rsid w:val="00104B59"/>
    <w:rsid w:val="00356614"/>
    <w:rsid w:val="003B1991"/>
    <w:rsid w:val="003C6F09"/>
    <w:rsid w:val="003F7BBB"/>
    <w:rsid w:val="004A43DE"/>
    <w:rsid w:val="00527265"/>
    <w:rsid w:val="00890897"/>
    <w:rsid w:val="008A7A26"/>
    <w:rsid w:val="00947CDE"/>
    <w:rsid w:val="00A41BBD"/>
    <w:rsid w:val="00B4302D"/>
    <w:rsid w:val="00D55FAE"/>
    <w:rsid w:val="00E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24FE8"/>
  <w15:chartTrackingRefBased/>
  <w15:docId w15:val="{2F528745-ACA9-E54D-AC09-87587887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09"/>
    <w:rPr>
      <w:rFonts w:ascii="Times" w:eastAsia="Cambria" w:hAnsi="Times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F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F09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C6F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</w:rPr>
  </w:style>
  <w:style w:type="character" w:styleId="Hyperlink">
    <w:name w:val="Hyperlink"/>
    <w:basedOn w:val="DefaultParagraphFont"/>
    <w:uiPriority w:val="99"/>
    <w:unhideWhenUsed/>
    <w:rsid w:val="00B43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1397</Words>
  <Characters>9194</Characters>
  <Application>Microsoft Office Word</Application>
  <DocSecurity>0</DocSecurity>
  <Lines>187</Lines>
  <Paragraphs>100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Daddario</dc:creator>
  <cp:keywords/>
  <dc:description/>
  <cp:lastModifiedBy>William Daddario</cp:lastModifiedBy>
  <cp:revision>4</cp:revision>
  <dcterms:created xsi:type="dcterms:W3CDTF">2026-02-12T13:01:00Z</dcterms:created>
  <dcterms:modified xsi:type="dcterms:W3CDTF">2026-07-05T13:02:00Z</dcterms:modified>
</cp:coreProperties>
</file>